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spacing w:after="0" w:line="6" w:lineRule="exact"/>
        <w:rPr>
          <w:sz w:val="24"/>
          <w:szCs w:val="24"/>
          <w:color w:val="auto"/>
        </w:rPr>
      </w:pPr>
    </w:p>
    <w:p>
      <w:pPr>
        <w:ind w:left="4200"/>
        <w:spacing w:after="0"/>
        <w:rPr>
          <w:sz w:val="20"/>
          <w:szCs w:val="20"/>
          <w:color w:val="auto"/>
        </w:rPr>
      </w:pPr>
      <w:r>
        <w:rPr>
          <w:rFonts w:ascii="Arial" w:cs="Arial" w:eastAsia="Arial" w:hAnsi="Arial"/>
          <w:sz w:val="10"/>
          <w:szCs w:val="10"/>
          <w:color w:val="auto"/>
        </w:rPr>
        <w:t>____________________________________________________________</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8-K</w:t>
      </w:r>
    </w:p>
    <w:p>
      <w:pPr>
        <w:spacing w:after="0" w:line="9" w:lineRule="exact"/>
        <w:rPr>
          <w:sz w:val="24"/>
          <w:szCs w:val="24"/>
          <w:color w:val="auto"/>
        </w:rPr>
      </w:pPr>
    </w:p>
    <w:p>
      <w:pPr>
        <w:ind w:left="4200"/>
        <w:spacing w:after="0"/>
        <w:rPr>
          <w:sz w:val="20"/>
          <w:szCs w:val="20"/>
          <w:color w:val="auto"/>
        </w:rPr>
      </w:pPr>
      <w:r>
        <w:rPr>
          <w:rFonts w:ascii="Arial" w:cs="Arial" w:eastAsia="Arial" w:hAnsi="Arial"/>
          <w:sz w:val="10"/>
          <w:szCs w:val="10"/>
          <w:color w:val="auto"/>
        </w:rPr>
        <w:t>____________________________________________________________</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CURRENT REPORT</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October 31, 2022</w:t>
      </w:r>
    </w:p>
    <w:p>
      <w:pPr>
        <w:spacing w:after="0" w:line="178" w:lineRule="exact"/>
        <w:rPr>
          <w:sz w:val="24"/>
          <w:szCs w:val="24"/>
          <w:color w:val="auto"/>
        </w:rPr>
      </w:pPr>
    </w:p>
    <w:p>
      <w:pPr>
        <w:ind w:left="4200"/>
        <w:spacing w:after="0"/>
        <w:rPr>
          <w:sz w:val="20"/>
          <w:szCs w:val="20"/>
          <w:color w:val="auto"/>
        </w:rPr>
      </w:pPr>
      <w:r>
        <w:rPr>
          <w:rFonts w:ascii="Arial" w:cs="Arial" w:eastAsia="Arial" w:hAnsi="Arial"/>
          <w:sz w:val="10"/>
          <w:szCs w:val="10"/>
          <w:color w:val="auto"/>
        </w:rPr>
        <w:t>____________________________________________________________</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GLACIER BANCORP, INC.</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ind w:left="4200"/>
        <w:spacing w:after="0" w:line="237" w:lineRule="auto"/>
        <w:rPr>
          <w:sz w:val="20"/>
          <w:szCs w:val="20"/>
          <w:color w:val="auto"/>
        </w:rPr>
      </w:pPr>
      <w:r>
        <w:rPr>
          <w:rFonts w:ascii="Arial" w:cs="Arial" w:eastAsia="Arial" w:hAnsi="Arial"/>
          <w:sz w:val="10"/>
          <w:szCs w:val="10"/>
          <w:color w:val="auto"/>
        </w:rPr>
        <w:t>____________________________________________________________</w:t>
      </w:r>
    </w:p>
    <w:p>
      <w:pPr>
        <w:sectPr>
          <w:pgSz w:w="11900" w:h="16838" w:orient="portrait"/>
          <w:cols w:equalWidth="0" w:num="1">
            <w:col w:w="11300"/>
          </w:cols>
          <w:pgMar w:left="300" w:top="702" w:right="299" w:bottom="1440" w:gutter="0" w:footer="0" w:header="0"/>
        </w:sectPr>
      </w:pPr>
    </w:p>
    <w:p>
      <w:pPr>
        <w:spacing w:after="0" w:line="17" w:lineRule="exact"/>
        <w:rPr>
          <w:sz w:val="24"/>
          <w:szCs w:val="24"/>
          <w:color w:val="auto"/>
        </w:rPr>
      </w:pPr>
    </w:p>
    <w:p>
      <w:pPr>
        <w:ind w:left="1580"/>
        <w:spacing w:after="0"/>
        <w:rPr>
          <w:sz w:val="20"/>
          <w:szCs w:val="20"/>
          <w:color w:val="auto"/>
        </w:rPr>
      </w:pPr>
      <w:r>
        <w:rPr>
          <w:rFonts w:ascii="Arial" w:cs="Arial" w:eastAsia="Arial" w:hAnsi="Arial"/>
          <w:sz w:val="13"/>
          <w:szCs w:val="13"/>
          <w:b w:val="1"/>
          <w:bCs w:val="1"/>
          <w:color w:val="auto"/>
        </w:rPr>
        <w:t>Montana</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Arial" w:cs="Arial" w:eastAsia="Arial" w:hAnsi="Arial"/>
          <w:sz w:val="12"/>
          <w:szCs w:val="12"/>
          <w:b w:val="1"/>
          <w:bCs w:val="1"/>
          <w:color w:val="auto"/>
        </w:rPr>
        <w:t>000-18911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81-0519541</w:t>
      </w:r>
    </w:p>
    <w:p>
      <w:pPr>
        <w:spacing w:after="0" w:line="39" w:lineRule="exact"/>
        <w:rPr>
          <w:sz w:val="24"/>
          <w:szCs w:val="24"/>
          <w:color w:val="auto"/>
        </w:rPr>
      </w:pPr>
    </w:p>
    <w:p>
      <w:pPr>
        <w:sectPr>
          <w:pgSz w:w="11900" w:h="16838" w:orient="portrait"/>
          <w:cols w:equalWidth="0" w:num="3">
            <w:col w:w="4620" w:space="720"/>
            <w:col w:w="3020" w:space="720"/>
            <w:col w:w="2220"/>
          </w:cols>
          <w:pgMar w:left="300" w:top="702" w:right="299" w:bottom="1440" w:gutter="0" w:footer="0" w:header="0"/>
          <w:type w:val="continuous"/>
        </w:sectPr>
      </w:pPr>
    </w:p>
    <w:p>
      <w:pPr>
        <w:spacing w:after="0" w:line="9" w:lineRule="exact"/>
        <w:rPr>
          <w:sz w:val="24"/>
          <w:szCs w:val="24"/>
          <w:color w:val="auto"/>
        </w:rPr>
      </w:pPr>
    </w:p>
    <w:p>
      <w:pPr>
        <w:ind w:left="1300"/>
        <w:spacing w:after="0"/>
        <w:rPr>
          <w:sz w:val="20"/>
          <w:szCs w:val="20"/>
          <w:color w:val="auto"/>
        </w:rPr>
      </w:pPr>
      <w:r>
        <w:rPr>
          <w:rFonts w:ascii="Arial" w:cs="Arial" w:eastAsia="Arial" w:hAnsi="Arial"/>
          <w:sz w:val="8"/>
          <w:szCs w:val="8"/>
          <w:b w:val="1"/>
          <w:bCs w:val="1"/>
          <w:color w:val="auto"/>
        </w:rPr>
        <w:t>(State or other jurisdiction</w:t>
      </w:r>
    </w:p>
    <w:p>
      <w:pPr>
        <w:spacing w:after="0" w:line="13" w:lineRule="exact"/>
        <w:rPr>
          <w:sz w:val="24"/>
          <w:szCs w:val="24"/>
          <w:color w:val="auto"/>
        </w:rPr>
      </w:pPr>
    </w:p>
    <w:p>
      <w:pPr>
        <w:ind w:left="152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(Commission</w:t>
      </w:r>
    </w:p>
    <w:p>
      <w:pPr>
        <w:spacing w:after="0" w:line="15"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0"/>
          <w:szCs w:val="10"/>
          <w:b w:val="1"/>
          <w:bCs w:val="1"/>
          <w:color w:val="auto"/>
        </w:rPr>
        <w:t>(IRS Employer</w:t>
      </w:r>
    </w:p>
    <w:p>
      <w:pPr>
        <w:spacing w:after="0"/>
        <w:rPr>
          <w:sz w:val="20"/>
          <w:szCs w:val="20"/>
          <w:color w:val="auto"/>
        </w:rPr>
      </w:pPr>
      <w:r>
        <w:rPr>
          <w:rFonts w:ascii="Arial" w:cs="Arial" w:eastAsia="Arial" w:hAnsi="Arial"/>
          <w:sz w:val="8"/>
          <w:szCs w:val="8"/>
          <w:b w:val="1"/>
          <w:bCs w:val="1"/>
          <w:color w:val="auto"/>
        </w:rPr>
        <w:t>Identification No.)</w:t>
      </w:r>
    </w:p>
    <w:p>
      <w:pPr>
        <w:spacing w:after="0" w:line="101" w:lineRule="exact"/>
        <w:rPr>
          <w:sz w:val="24"/>
          <w:szCs w:val="24"/>
          <w:color w:val="auto"/>
        </w:rPr>
      </w:pPr>
    </w:p>
    <w:p>
      <w:pPr>
        <w:sectPr>
          <w:pgSz w:w="11900" w:h="16838" w:orient="portrait"/>
          <w:cols w:equalWidth="0" w:num="3">
            <w:col w:w="4640" w:space="720"/>
            <w:col w:w="2960" w:space="720"/>
            <w:col w:w="2260"/>
          </w:cols>
          <w:pgMar w:left="300" w:top="702" w:right="299" w:bottom="1440" w:gutter="0" w:footer="0" w:header="0"/>
          <w:type w:val="continuous"/>
        </w:sectPr>
      </w:pPr>
    </w:p>
    <w:p>
      <w:pPr>
        <w:ind w:left="1560"/>
        <w:spacing w:after="0"/>
        <w:rPr>
          <w:sz w:val="20"/>
          <w:szCs w:val="20"/>
          <w:color w:val="auto"/>
        </w:rPr>
      </w:pPr>
      <w:r>
        <w:rPr>
          <w:rFonts w:ascii="Arial" w:cs="Arial" w:eastAsia="Arial" w:hAnsi="Arial"/>
          <w:sz w:val="12"/>
          <w:szCs w:val="12"/>
          <w:b w:val="1"/>
          <w:bCs w:val="1"/>
          <w:color w:val="auto"/>
        </w:rPr>
        <w:t>49 Commons Loop</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b w:val="1"/>
          <w:bCs w:val="1"/>
          <w:color w:val="auto"/>
        </w:rPr>
        <w:t>Kalispell,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Montana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59901</w:t>
      </w:r>
    </w:p>
    <w:p>
      <w:pPr>
        <w:spacing w:after="0" w:line="48" w:lineRule="exact"/>
        <w:rPr>
          <w:sz w:val="24"/>
          <w:szCs w:val="24"/>
          <w:color w:val="auto"/>
        </w:rPr>
      </w:pPr>
    </w:p>
    <w:p>
      <w:pPr>
        <w:sectPr>
          <w:pgSz w:w="11900" w:h="16838" w:orient="portrait"/>
          <w:cols w:equalWidth="0" w:num="4">
            <w:col w:w="2720" w:space="320"/>
            <w:col w:w="580" w:space="340"/>
            <w:col w:w="3580" w:space="720"/>
            <w:col w:w="3040"/>
          </w:cols>
          <w:pgMar w:left="300" w:top="702" w:right="299" w:bottom="1440" w:gutter="0" w:footer="0" w:header="0"/>
          <w:type w:val="continuous"/>
        </w:sectPr>
      </w:pPr>
    </w:p>
    <w:p>
      <w:pPr>
        <w:ind w:left="202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(Zip Code)</w:t>
      </w:r>
    </w:p>
    <w:p>
      <w:pPr>
        <w:spacing w:after="0" w:line="109" w:lineRule="exact"/>
        <w:rPr>
          <w:sz w:val="24"/>
          <w:szCs w:val="24"/>
          <w:color w:val="auto"/>
        </w:rPr>
      </w:pPr>
    </w:p>
    <w:p>
      <w:pPr>
        <w:sectPr>
          <w:pgSz w:w="11900" w:h="16838" w:orient="portrait"/>
          <w:cols w:equalWidth="0" w:num="2">
            <w:col w:w="7500" w:space="720"/>
            <w:col w:w="3080"/>
          </w:cols>
          <w:pgMar w:left="300" w:top="702" w:right="299" w:bottom="1440" w:gutter="0" w:footer="0" w:header="0"/>
          <w:type w:val="continuous"/>
        </w:sectPr>
      </w:pPr>
    </w:p>
    <w:p>
      <w:pPr>
        <w:jc w:val="center"/>
        <w:ind w:right="220"/>
        <w:spacing w:after="0"/>
        <w:rPr>
          <w:sz w:val="20"/>
          <w:szCs w:val="20"/>
          <w:color w:val="auto"/>
        </w:rPr>
      </w:pPr>
      <w:r>
        <w:rPr>
          <w:rFonts w:ascii="Arial" w:cs="Arial" w:eastAsia="Arial" w:hAnsi="Arial"/>
          <w:sz w:val="14"/>
          <w:szCs w:val="14"/>
          <w:b w:val="1"/>
          <w:bCs w:val="1"/>
          <w:color w:val="auto"/>
        </w:rPr>
        <w:t>(406) 756-4200</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(Registrant’s telephone number, including area code)</w:t>
      </w:r>
    </w:p>
    <w:p>
      <w:pPr>
        <w:sectPr>
          <w:pgSz w:w="11900" w:h="16838" w:orient="portrait"/>
          <w:cols w:equalWidth="0" w:num="1">
            <w:col w:w="11300"/>
          </w:cols>
          <w:pgMar w:left="300" w:top="702" w:right="299" w:bottom="1440" w:gutter="0" w:footer="0" w:header="0"/>
          <w:type w:val="continuous"/>
        </w:sectPr>
      </w:pPr>
    </w:p>
    <w:p>
      <w:pPr>
        <w:spacing w:after="0" w:line="97" w:lineRule="exact"/>
        <w:rPr>
          <w:sz w:val="24"/>
          <w:szCs w:val="24"/>
          <w:color w:val="auto"/>
        </w:rPr>
      </w:pPr>
    </w:p>
    <w:p>
      <w:pPr>
        <w:ind w:left="4200"/>
        <w:spacing w:after="0"/>
        <w:rPr>
          <w:sz w:val="20"/>
          <w:szCs w:val="20"/>
          <w:color w:val="auto"/>
        </w:rPr>
      </w:pPr>
      <w:r>
        <w:rPr>
          <w:rFonts w:ascii="Arial" w:cs="Arial" w:eastAsia="Arial" w:hAnsi="Arial"/>
          <w:sz w:val="10"/>
          <w:szCs w:val="10"/>
          <w:color w:val="auto"/>
        </w:rPr>
        <w:t>____________________________________________________________</w:t>
      </w:r>
    </w:p>
    <w:p>
      <w:pPr>
        <w:spacing w:after="0" w:line="166"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color w:val="auto"/>
        </w:rPr>
        <w:t>Written communications pursuant to Rule 425 under the Securities Act (17 CFR 230.425)</w:t>
      </w:r>
    </w:p>
    <w:p>
      <w:pPr>
        <w:spacing w:after="0" w:line="22" w:lineRule="exact"/>
        <w:rPr>
          <w:rFonts w:ascii="MS PGothic" w:cs="MS PGothic" w:eastAsia="MS PGothic" w:hAnsi="MS PGothic"/>
          <w:sz w:val="13"/>
          <w:szCs w:val="13"/>
          <w:color w:val="auto"/>
          <w:highlight w:val="black"/>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color w:val="auto"/>
        </w:rPr>
        <w:t>Soliciting material pursuant to Rule 14a-12 under the Exchange Act (17 CFR 240.14a-12)</w:t>
      </w:r>
    </w:p>
    <w:p>
      <w:pPr>
        <w:spacing w:after="0" w:line="12" w:lineRule="exact"/>
        <w:rPr>
          <w:rFonts w:ascii="MS PGothic" w:cs="MS PGothic" w:eastAsia="MS PGothic" w:hAnsi="MS PGothic"/>
          <w:sz w:val="13"/>
          <w:szCs w:val="13"/>
          <w:color w:val="auto"/>
          <w:highlight w:val="black"/>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color w:val="auto"/>
        </w:rPr>
        <w:t>Pre-commencement communications pursuant to Rule 14d-2(b) under the Exchange Act (17 CFR 240.14d-2(b))</w:t>
      </w:r>
    </w:p>
    <w:p>
      <w:pPr>
        <w:spacing w:after="0" w:line="3" w:lineRule="exact"/>
        <w:rPr>
          <w:rFonts w:ascii="MS PGothic" w:cs="MS PGothic" w:eastAsia="MS PGothic" w:hAnsi="MS PGothic"/>
          <w:sz w:val="13"/>
          <w:szCs w:val="13"/>
          <w:color w:val="auto"/>
          <w:highlight w:val="black"/>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color w:val="auto"/>
        </w:rPr>
        <w:t>Pre-commencement communications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6" w:lineRule="exact"/>
        <w:rPr>
          <w:sz w:val="24"/>
          <w:szCs w:val="24"/>
          <w:color w:val="auto"/>
        </w:rPr>
      </w:pPr>
    </w:p>
    <w:tbl>
      <w:tblPr>
        <w:tblLayout w:type="fixed"/>
        <w:tblInd w:w="10" w:type="dxa"/>
        <w:tblCellMar>
          <w:top w:w="0" w:type="dxa"/>
          <w:left w:w="0" w:type="dxa"/>
          <w:bottom w:w="0" w:type="dxa"/>
          <w:right w:w="0" w:type="dxa"/>
        </w:tblCellMar>
      </w:tblPr>
      <w:tr>
        <w:trPr>
          <w:trHeight w:val="17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Name of each exchange on which registered</w:t>
            </w:r>
          </w:p>
        </w:tc>
      </w:tr>
      <w:tr>
        <w:trPr>
          <w:trHeight w:val="16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Common Stock, $0.01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GBCI</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The New York Stock Exchange</w:t>
            </w:r>
          </w:p>
        </w:tc>
      </w:tr>
    </w:tbl>
    <w:p>
      <w:pPr>
        <w:spacing w:after="0" w:line="214" w:lineRule="exact"/>
        <w:rPr>
          <w:sz w:val="24"/>
          <w:szCs w:val="24"/>
          <w:color w:val="auto"/>
        </w:rPr>
      </w:pPr>
    </w:p>
    <w:p>
      <w:pPr>
        <w:jc w:val="both"/>
        <w:spacing w:after="0" w:line="256" w:lineRule="auto"/>
        <w:rPr>
          <w:sz w:val="20"/>
          <w:szCs w:val="20"/>
          <w:color w:val="auto"/>
        </w:rPr>
      </w:pPr>
      <w:r>
        <w:rPr>
          <w:rFonts w:ascii="Arial" w:cs="Arial" w:eastAsia="Arial" w:hAnsi="Arial"/>
          <w:sz w:val="13"/>
          <w:szCs w:val="13"/>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4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highlight w:val="black"/>
        </w:rPr>
        <w:t>☐</w:t>
      </w:r>
    </w:p>
    <w:p>
      <w:pPr>
        <w:spacing w:after="0" w:line="169" w:lineRule="exact"/>
        <w:rPr>
          <w:sz w:val="24"/>
          <w:szCs w:val="24"/>
          <w:color w:val="auto"/>
        </w:rPr>
      </w:pPr>
    </w:p>
    <w:p>
      <w:pPr>
        <w:jc w:val="both"/>
        <w:ind w:right="2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353695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2"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176" w:lineRule="exact"/>
        <w:rPr>
          <w:sz w:val="20"/>
          <w:szCs w:val="20"/>
          <w:color w:val="auto"/>
        </w:rPr>
      </w:pPr>
    </w:p>
    <w:p>
      <w:pPr>
        <w:ind w:firstLine="432"/>
        <w:spacing w:after="0" w:line="286" w:lineRule="auto"/>
        <w:rPr>
          <w:sz w:val="20"/>
          <w:szCs w:val="20"/>
          <w:color w:val="auto"/>
        </w:rPr>
      </w:pPr>
      <w:r>
        <w:rPr>
          <w:rFonts w:ascii="Arial" w:cs="Arial" w:eastAsia="Arial" w:hAnsi="Arial"/>
          <w:sz w:val="14"/>
          <w:szCs w:val="14"/>
          <w:color w:val="auto"/>
        </w:rPr>
        <w:t>On October 31, 2022, Glacier Bancorp, Inc. (“Company”), Kalispell, Montana, made an investor presentation which will also be posted on its website. The presentation is furnished as Exhibit 99.1 to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76" w:lineRule="exact"/>
        <w:rPr>
          <w:sz w:val="20"/>
          <w:szCs w:val="20"/>
          <w:color w:val="auto"/>
        </w:rPr>
      </w:pPr>
    </w:p>
    <w:p>
      <w:pPr>
        <w:ind w:left="740" w:hanging="316"/>
        <w:spacing w:after="0"/>
        <w:tabs>
          <w:tab w:leader="none" w:pos="7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investor presentation described in Item 7.01 is furnished with this report as Exhibit 99.1.</w:t>
      </w:r>
    </w:p>
    <w:p>
      <w:pPr>
        <w:spacing w:after="0" w:line="172"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4"/>
          <w:szCs w:val="14"/>
          <w:u w:val="single" w:color="auto"/>
          <w:color w:val="0000FF"/>
        </w:rPr>
        <w:t>99.1</w:t>
      </w:r>
      <w:r>
        <w:rPr>
          <w:sz w:val="20"/>
          <w:szCs w:val="20"/>
          <w:color w:val="auto"/>
        </w:rPr>
        <w:tab/>
      </w:r>
      <w:r>
        <w:rPr>
          <w:rFonts w:ascii="Arial" w:cs="Arial" w:eastAsia="Arial" w:hAnsi="Arial"/>
          <w:sz w:val="12"/>
          <w:szCs w:val="12"/>
          <w:color w:val="auto"/>
        </w:rPr>
        <w:t>Investor Presentation</w:t>
      </w:r>
    </w:p>
    <w:p>
      <w:pPr>
        <w:spacing w:after="0" w:line="172"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3"/>
          <w:szCs w:val="13"/>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80"/>
          </w:cols>
          <w:pgMar w:left="300" w:top="634" w:right="6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4"/>
          <w:szCs w:val="14"/>
          <w:b w:val="1"/>
          <w:bCs w:val="1"/>
          <w:color w:val="auto"/>
        </w:rPr>
        <w:t>SIGNATURES</w:t>
      </w: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ind w:left="440"/>
        <w:spacing w:after="0"/>
        <w:tabs>
          <w:tab w:leader="none" w:pos="1260" w:val="left"/>
          <w:tab w:leader="none" w:pos="484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October 31, 2022</w:t>
      </w:r>
      <w:r>
        <w:rPr>
          <w:sz w:val="20"/>
          <w:szCs w:val="20"/>
          <w:color w:val="auto"/>
        </w:rPr>
        <w:tab/>
      </w:r>
      <w:r>
        <w:rPr>
          <w:rFonts w:ascii="Arial" w:cs="Arial" w:eastAsia="Arial" w:hAnsi="Arial"/>
          <w:sz w:val="13"/>
          <w:szCs w:val="13"/>
          <w:color w:val="auto"/>
        </w:rPr>
        <w:t>GLACIER BANCORP, INC.</w:t>
      </w:r>
    </w:p>
    <w:p>
      <w:pPr>
        <w:spacing w:after="0" w:line="200" w:lineRule="exact"/>
        <w:rPr>
          <w:sz w:val="20"/>
          <w:szCs w:val="20"/>
          <w:color w:val="auto"/>
        </w:rPr>
      </w:pPr>
    </w:p>
    <w:p>
      <w:pPr>
        <w:spacing w:after="0" w:line="251"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/s/ Randall M. Chesler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15240</wp:posOffset>
            </wp:positionV>
            <wp:extent cx="328612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5715"/>
                    </a:xfrm>
                    <a:prstGeom prst="rect">
                      <a:avLst/>
                    </a:prstGeom>
                    <a:noFill/>
                  </pic:spPr>
                </pic:pic>
              </a:graphicData>
            </a:graphic>
          </wp:anchor>
        </w:drawing>
      </w:r>
    </w:p>
    <w:p>
      <w:pPr>
        <w:spacing w:after="0" w:line="8" w:lineRule="exact"/>
        <w:rPr>
          <w:sz w:val="20"/>
          <w:szCs w:val="20"/>
          <w:color w:val="auto"/>
        </w:rPr>
      </w:pPr>
    </w:p>
    <w:p>
      <w:pPr>
        <w:ind w:left="4860"/>
        <w:spacing w:after="0"/>
        <w:tabs>
          <w:tab w:leader="none" w:pos="54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Randall M. Chesler</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President and Chief Executive Officer</w:t>
      </w:r>
    </w:p>
    <w:p>
      <w:pPr>
        <w:sectPr>
          <w:pgSz w:w="11900" w:h="16838" w:orient="portrait"/>
          <w:cols w:equalWidth="0" w:num="1">
            <w:col w:w="10480"/>
          </w:cols>
          <w:pgMar w:left="720" w:top="643" w:right="6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850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5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44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84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2022-10-31T16:28:18Z</dcterms:created>
  <dcterms:modified xsi:type="dcterms:W3CDTF">2022-10-31T16:28:18Z</dcterms:modified>
</cp:coreProperties>
</file>