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Times New Roman" w:cs="Times New Roman" w:eastAsia="Times New Roman" w:hAnsi="Times New Roman"/>
          <w:sz w:val="19"/>
          <w:szCs w:val="19"/>
          <w:b w:val="1"/>
          <w:bCs w:val="1"/>
          <w:color w:val="auto"/>
        </w:rPr>
        <w:t>UNITED STATES</w:t>
      </w:r>
    </w:p>
    <w:p>
      <w:pPr>
        <w:spacing w:after="0" w:line="3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9"/>
          <w:szCs w:val="19"/>
          <w:b w:val="1"/>
          <w:bCs w:val="1"/>
          <w:color w:val="auto"/>
        </w:rPr>
        <w:t>SECURITIES AND EXCHANGE COMMISSION</w:t>
      </w:r>
    </w:p>
    <w:p>
      <w:pPr>
        <w:spacing w:after="0" w:line="1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Washington, D.C. 20549</w:t>
      </w:r>
    </w:p>
    <w:p>
      <w:pPr>
        <w:spacing w:after="0" w:line="7"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0"/>
          <w:szCs w:val="10"/>
          <w:color w:val="auto"/>
        </w:rPr>
        <w:t>____________________________________________________________</w:t>
      </w:r>
    </w:p>
    <w:p>
      <w:pPr>
        <w:jc w:val="center"/>
        <w:ind w:right="20"/>
        <w:spacing w:after="0"/>
        <w:rPr>
          <w:sz w:val="20"/>
          <w:szCs w:val="20"/>
          <w:color w:val="auto"/>
        </w:rPr>
      </w:pPr>
      <w:r>
        <w:rPr>
          <w:rFonts w:ascii="Times New Roman" w:cs="Times New Roman" w:eastAsia="Times New Roman" w:hAnsi="Times New Roman"/>
          <w:sz w:val="19"/>
          <w:szCs w:val="19"/>
          <w:b w:val="1"/>
          <w:bCs w:val="1"/>
          <w:color w:val="auto"/>
        </w:rPr>
        <w:t>FORM 8-K</w:t>
      </w:r>
    </w:p>
    <w:p>
      <w:pPr>
        <w:spacing w:after="0" w:line="9"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0"/>
          <w:szCs w:val="10"/>
          <w:color w:val="auto"/>
        </w:rPr>
        <w:t>____________________________________________________________</w:t>
      </w:r>
    </w:p>
    <w:p>
      <w:pPr>
        <w:spacing w:after="0" w:line="15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CURRENT REPORT</w:t>
      </w:r>
    </w:p>
    <w:p>
      <w:pPr>
        <w:spacing w:after="0" w:line="17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Pursuant to Section 13 or 15(d) of The Securities Exchange Act of 1934</w:t>
      </w:r>
    </w:p>
    <w:p>
      <w:pPr>
        <w:spacing w:after="0" w:line="17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 xml:space="preserve">Date of Report (Date of earliest event reported): </w:t>
      </w:r>
      <w:r>
        <w:rPr>
          <w:rFonts w:ascii="Times New Roman" w:cs="Times New Roman" w:eastAsia="Times New Roman" w:hAnsi="Times New Roman"/>
          <w:sz w:val="14"/>
          <w:szCs w:val="14"/>
          <w:b w:val="1"/>
          <w:bCs w:val="1"/>
          <w:color w:val="auto"/>
        </w:rPr>
        <w:t>February 12, 2025</w:t>
      </w:r>
    </w:p>
    <w:p>
      <w:pPr>
        <w:spacing w:after="0" w:line="178"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0"/>
          <w:szCs w:val="10"/>
          <w:color w:val="auto"/>
        </w:rPr>
        <w:t>____________________________________________________________</w:t>
      </w:r>
    </w:p>
    <w:p>
      <w:pPr>
        <w:spacing w:after="0" w:line="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4"/>
          <w:szCs w:val="24"/>
          <w:b w:val="1"/>
          <w:bCs w:val="1"/>
          <w:color w:val="auto"/>
        </w:rPr>
        <w:t>GLACIER BANCORP, INC.</w:t>
      </w:r>
    </w:p>
    <w:p>
      <w:pPr>
        <w:spacing w:after="0" w:line="1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(Exact name of registrant as specified in its charter)</w:t>
      </w:r>
    </w:p>
    <w:p>
      <w:pPr>
        <w:ind w:left="4200"/>
        <w:spacing w:after="0" w:line="237" w:lineRule="auto"/>
        <w:rPr>
          <w:sz w:val="20"/>
          <w:szCs w:val="20"/>
          <w:color w:val="auto"/>
        </w:rPr>
      </w:pPr>
      <w:r>
        <w:rPr>
          <w:rFonts w:ascii="Times New Roman" w:cs="Times New Roman" w:eastAsia="Times New Roman" w:hAnsi="Times New Roman"/>
          <w:sz w:val="10"/>
          <w:szCs w:val="10"/>
          <w:color w:val="auto"/>
        </w:rPr>
        <w:t>____________________________________________________________</w:t>
      </w:r>
    </w:p>
    <w:p>
      <w:pPr>
        <w:sectPr>
          <w:pgSz w:w="11900" w:h="16838" w:orient="portrait"/>
          <w:cols w:equalWidth="0" w:num="1">
            <w:col w:w="11300"/>
          </w:cols>
          <w:pgMar w:left="300" w:top="700" w:right="299" w:bottom="1440" w:gutter="0" w:footer="0" w:header="0"/>
        </w:sectPr>
      </w:pPr>
    </w:p>
    <w:p>
      <w:pPr>
        <w:spacing w:after="0" w:line="15" w:lineRule="exact"/>
        <w:rPr>
          <w:sz w:val="24"/>
          <w:szCs w:val="24"/>
          <w:color w:val="auto"/>
        </w:rPr>
      </w:pPr>
    </w:p>
    <w:p>
      <w:pPr>
        <w:ind w:left="1580"/>
        <w:spacing w:after="0"/>
        <w:rPr>
          <w:sz w:val="20"/>
          <w:szCs w:val="20"/>
          <w:color w:val="auto"/>
        </w:rPr>
      </w:pPr>
      <w:r>
        <w:rPr>
          <w:rFonts w:ascii="Times New Roman" w:cs="Times New Roman" w:eastAsia="Times New Roman" w:hAnsi="Times New Roman"/>
          <w:sz w:val="14"/>
          <w:szCs w:val="14"/>
          <w:b w:val="1"/>
          <w:bCs w:val="1"/>
          <w:color w:val="auto"/>
        </w:rPr>
        <w:t>Montana</w:t>
      </w:r>
    </w:p>
    <w:p>
      <w:pPr>
        <w:spacing w:after="0" w:line="20" w:lineRule="exact"/>
        <w:rPr>
          <w:sz w:val="24"/>
          <w:szCs w:val="24"/>
          <w:color w:val="auto"/>
        </w:rPr>
      </w:pPr>
      <w:r>
        <w:rPr>
          <w:sz w:val="24"/>
          <w:szCs w:val="24"/>
          <w:color w:val="auto"/>
        </w:rPr>
        <w:br w:type="column"/>
      </w:r>
    </w:p>
    <w:p>
      <w:pPr>
        <w:jc w:val="center"/>
        <w:ind w:right="2420"/>
        <w:spacing w:after="0"/>
        <w:rPr>
          <w:sz w:val="20"/>
          <w:szCs w:val="20"/>
          <w:color w:val="auto"/>
        </w:rPr>
      </w:pPr>
      <w:r>
        <w:rPr>
          <w:rFonts w:ascii="Times New Roman" w:cs="Times New Roman" w:eastAsia="Times New Roman" w:hAnsi="Times New Roman"/>
          <w:sz w:val="13"/>
          <w:szCs w:val="13"/>
          <w:b w:val="1"/>
          <w:bCs w:val="1"/>
          <w:color w:val="auto"/>
        </w:rPr>
        <w:t>000-18911</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81-0519541</w:t>
      </w:r>
    </w:p>
    <w:p>
      <w:pPr>
        <w:spacing w:after="0" w:line="19" w:lineRule="exact"/>
        <w:rPr>
          <w:sz w:val="24"/>
          <w:szCs w:val="24"/>
          <w:color w:val="auto"/>
        </w:rPr>
      </w:pPr>
    </w:p>
    <w:p>
      <w:pPr>
        <w:sectPr>
          <w:pgSz w:w="11900" w:h="16838" w:orient="portrait"/>
          <w:cols w:equalWidth="0" w:num="3">
            <w:col w:w="4620" w:space="720"/>
            <w:col w:w="3020" w:space="720"/>
            <w:col w:w="2220"/>
          </w:cols>
          <w:pgMar w:left="300" w:top="700" w:right="299" w:bottom="1440" w:gutter="0" w:footer="0" w:header="0"/>
          <w:type w:val="continuous"/>
        </w:sectPr>
      </w:pPr>
    </w:p>
    <w:p>
      <w:pPr>
        <w:spacing w:after="0" w:line="10" w:lineRule="exact"/>
        <w:rPr>
          <w:sz w:val="24"/>
          <w:szCs w:val="24"/>
          <w:color w:val="auto"/>
        </w:rPr>
      </w:pPr>
    </w:p>
    <w:p>
      <w:pPr>
        <w:ind w:left="1300"/>
        <w:spacing w:after="0"/>
        <w:rPr>
          <w:sz w:val="20"/>
          <w:szCs w:val="20"/>
          <w:color w:val="auto"/>
        </w:rPr>
      </w:pPr>
      <w:r>
        <w:rPr>
          <w:rFonts w:ascii="Times New Roman" w:cs="Times New Roman" w:eastAsia="Times New Roman" w:hAnsi="Times New Roman"/>
          <w:sz w:val="8"/>
          <w:szCs w:val="8"/>
          <w:b w:val="1"/>
          <w:bCs w:val="1"/>
          <w:color w:val="auto"/>
        </w:rPr>
        <w:t>(State or other jurisdiction</w:t>
      </w:r>
    </w:p>
    <w:p>
      <w:pPr>
        <w:spacing w:after="0" w:line="11" w:lineRule="exact"/>
        <w:rPr>
          <w:sz w:val="24"/>
          <w:szCs w:val="24"/>
          <w:color w:val="auto"/>
        </w:rPr>
      </w:pPr>
    </w:p>
    <w:p>
      <w:pPr>
        <w:ind w:left="1520"/>
        <w:spacing w:after="0"/>
        <w:rPr>
          <w:sz w:val="20"/>
          <w:szCs w:val="20"/>
          <w:color w:val="auto"/>
        </w:rPr>
      </w:pPr>
      <w:r>
        <w:rPr>
          <w:rFonts w:ascii="Times New Roman" w:cs="Times New Roman" w:eastAsia="Times New Roman" w:hAnsi="Times New Roman"/>
          <w:sz w:val="10"/>
          <w:szCs w:val="10"/>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8"/>
          <w:szCs w:val="8"/>
          <w:b w:val="1"/>
          <w:bCs w:val="1"/>
          <w:color w:val="auto"/>
        </w:rPr>
        <w:t>(Commission</w:t>
      </w:r>
    </w:p>
    <w:p>
      <w:pPr>
        <w:spacing w:after="0" w:line="13" w:lineRule="exact"/>
        <w:rPr>
          <w:sz w:val="24"/>
          <w:szCs w:val="24"/>
          <w:color w:val="auto"/>
        </w:rPr>
      </w:pPr>
    </w:p>
    <w:p>
      <w:pPr>
        <w:spacing w:after="0"/>
        <w:rPr>
          <w:sz w:val="20"/>
          <w:szCs w:val="20"/>
          <w:color w:val="auto"/>
        </w:rPr>
      </w:pPr>
      <w:r>
        <w:rPr>
          <w:rFonts w:ascii="Times New Roman" w:cs="Times New Roman" w:eastAsia="Times New Roman" w:hAnsi="Times New Roman"/>
          <w:sz w:val="8"/>
          <w:szCs w:val="8"/>
          <w:b w:val="1"/>
          <w:bCs w:val="1"/>
          <w:color w:val="auto"/>
        </w:rPr>
        <w:t>File Number)</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Times New Roman" w:cs="Times New Roman" w:eastAsia="Times New Roman" w:hAnsi="Times New Roman"/>
          <w:sz w:val="10"/>
          <w:szCs w:val="10"/>
          <w:b w:val="1"/>
          <w:bCs w:val="1"/>
          <w:color w:val="auto"/>
        </w:rPr>
        <w:t>(IRS Employer</w:t>
      </w:r>
    </w:p>
    <w:p>
      <w:pPr>
        <w:spacing w:after="0"/>
        <w:rPr>
          <w:sz w:val="20"/>
          <w:szCs w:val="20"/>
          <w:color w:val="auto"/>
        </w:rPr>
      </w:pPr>
      <w:r>
        <w:rPr>
          <w:rFonts w:ascii="Times New Roman" w:cs="Times New Roman" w:eastAsia="Times New Roman" w:hAnsi="Times New Roman"/>
          <w:sz w:val="8"/>
          <w:szCs w:val="8"/>
          <w:b w:val="1"/>
          <w:bCs w:val="1"/>
          <w:color w:val="auto"/>
        </w:rPr>
        <w:t>Identification No.)</w:t>
      </w:r>
    </w:p>
    <w:p>
      <w:pPr>
        <w:spacing w:after="0" w:line="99" w:lineRule="exact"/>
        <w:rPr>
          <w:sz w:val="24"/>
          <w:szCs w:val="24"/>
          <w:color w:val="auto"/>
        </w:rPr>
      </w:pPr>
    </w:p>
    <w:p>
      <w:pPr>
        <w:sectPr>
          <w:pgSz w:w="11900" w:h="16838" w:orient="portrait"/>
          <w:cols w:equalWidth="0" w:num="3">
            <w:col w:w="4640" w:space="720"/>
            <w:col w:w="2960" w:space="720"/>
            <w:col w:w="2260"/>
          </w:cols>
          <w:pgMar w:left="300" w:top="700" w:right="299" w:bottom="1440" w:gutter="0" w:footer="0" w:header="0"/>
          <w:type w:val="continuous"/>
        </w:sectPr>
      </w:pPr>
    </w:p>
    <w:p>
      <w:pPr>
        <w:ind w:left="1560"/>
        <w:spacing w:after="0"/>
        <w:rPr>
          <w:sz w:val="20"/>
          <w:szCs w:val="20"/>
          <w:color w:val="auto"/>
        </w:rPr>
      </w:pPr>
      <w:r>
        <w:rPr>
          <w:rFonts w:ascii="Times New Roman" w:cs="Times New Roman" w:eastAsia="Times New Roman" w:hAnsi="Times New Roman"/>
          <w:sz w:val="14"/>
          <w:szCs w:val="14"/>
          <w:b w:val="1"/>
          <w:bCs w:val="1"/>
          <w:color w:val="auto"/>
        </w:rPr>
        <w:t>49 Commons Loop</w:t>
      </w:r>
    </w:p>
    <w:p>
      <w:pPr>
        <w:spacing w:after="0" w:line="20" w:lineRule="exact"/>
        <w:rPr>
          <w:sz w:val="24"/>
          <w:szCs w:val="24"/>
          <w:color w:val="auto"/>
        </w:rPr>
      </w:pPr>
      <w:r>
        <w:rPr>
          <w:sz w:val="24"/>
          <w:szCs w:val="24"/>
          <w:color w:val="auto"/>
        </w:rPr>
        <w:br w:type="column"/>
      </w:r>
    </w:p>
    <w:p>
      <w:pPr>
        <w:jc w:val="center"/>
        <w:spacing w:after="0"/>
        <w:rPr>
          <w:sz w:val="20"/>
          <w:szCs w:val="20"/>
          <w:color w:val="auto"/>
        </w:rPr>
      </w:pPr>
      <w:r>
        <w:rPr>
          <w:rFonts w:ascii="Times New Roman" w:cs="Times New Roman" w:eastAsia="Times New Roman" w:hAnsi="Times New Roman"/>
          <w:sz w:val="14"/>
          <w:szCs w:val="14"/>
          <w:b w:val="1"/>
          <w:bCs w:val="1"/>
          <w:color w:val="auto"/>
        </w:rPr>
        <w:t>Kalispell,</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Montana</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59901</w:t>
      </w:r>
    </w:p>
    <w:p>
      <w:pPr>
        <w:spacing w:after="0" w:line="29" w:lineRule="exact"/>
        <w:rPr>
          <w:sz w:val="24"/>
          <w:szCs w:val="24"/>
          <w:color w:val="auto"/>
        </w:rPr>
      </w:pPr>
    </w:p>
    <w:p>
      <w:pPr>
        <w:sectPr>
          <w:pgSz w:w="11900" w:h="16838" w:orient="portrait"/>
          <w:cols w:equalWidth="0" w:num="4">
            <w:col w:w="2720" w:space="320"/>
            <w:col w:w="580" w:space="340"/>
            <w:col w:w="3580" w:space="720"/>
            <w:col w:w="3040"/>
          </w:cols>
          <w:pgMar w:left="300" w:top="700" w:right="299" w:bottom="1440" w:gutter="0" w:footer="0" w:header="0"/>
          <w:type w:val="continuous"/>
        </w:sectPr>
      </w:pPr>
    </w:p>
    <w:p>
      <w:pPr>
        <w:ind w:left="2020"/>
        <w:spacing w:after="0"/>
        <w:rPr>
          <w:sz w:val="20"/>
          <w:szCs w:val="20"/>
          <w:color w:val="auto"/>
        </w:rPr>
      </w:pPr>
      <w:r>
        <w:rPr>
          <w:rFonts w:ascii="Times New Roman" w:cs="Times New Roman" w:eastAsia="Times New Roman" w:hAnsi="Times New Roman"/>
          <w:sz w:val="8"/>
          <w:szCs w:val="8"/>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8"/>
          <w:szCs w:val="8"/>
          <w:b w:val="1"/>
          <w:bCs w:val="1"/>
          <w:color w:val="auto"/>
        </w:rPr>
        <w:t>(Zip Code)</w:t>
      </w:r>
    </w:p>
    <w:p>
      <w:pPr>
        <w:spacing w:after="0" w:line="105" w:lineRule="exact"/>
        <w:rPr>
          <w:sz w:val="24"/>
          <w:szCs w:val="24"/>
          <w:color w:val="auto"/>
        </w:rPr>
      </w:pPr>
    </w:p>
    <w:p>
      <w:pPr>
        <w:sectPr>
          <w:pgSz w:w="11900" w:h="16838" w:orient="portrait"/>
          <w:cols w:equalWidth="0" w:num="2">
            <w:col w:w="7500" w:space="720"/>
            <w:col w:w="3080"/>
          </w:cols>
          <w:pgMar w:left="300" w:top="700" w:right="299" w:bottom="1440" w:gutter="0" w:footer="0" w:header="0"/>
          <w:type w:val="continuous"/>
        </w:sectPr>
      </w:pPr>
    </w:p>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(406) 756-4200</w:t>
      </w:r>
    </w:p>
    <w:p>
      <w:pPr>
        <w:spacing w:after="0" w:line="2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8"/>
          <w:szCs w:val="8"/>
          <w:b w:val="1"/>
          <w:bCs w:val="1"/>
          <w:color w:val="auto"/>
        </w:rPr>
        <w:t>(Registrant’s telephone number, including area code)</w:t>
      </w:r>
    </w:p>
    <w:p>
      <w:pPr>
        <w:sectPr>
          <w:pgSz w:w="11900" w:h="16838" w:orient="portrait"/>
          <w:cols w:equalWidth="0" w:num="1">
            <w:col w:w="11300"/>
          </w:cols>
          <w:pgMar w:left="300" w:top="700" w:right="299" w:bottom="1440" w:gutter="0" w:footer="0" w:header="0"/>
          <w:type w:val="continuous"/>
        </w:sectPr>
      </w:pPr>
    </w:p>
    <w:p>
      <w:pPr>
        <w:spacing w:after="0" w:line="93"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0"/>
          <w:szCs w:val="10"/>
          <w:color w:val="auto"/>
        </w:rPr>
        <w:t>____________________________________________________________</w:t>
      </w:r>
    </w:p>
    <w:p>
      <w:pPr>
        <w:spacing w:after="0" w:line="164"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auto"/>
        </w:rPr>
        <w:t>Check the appropriate box below if the Form 8-K filing is intended to simultaneously satisfy the filing obligation of the registrant under any of the following provisions:</w:t>
      </w:r>
    </w:p>
    <w:p>
      <w:pPr>
        <w:spacing w:after="0" w:line="50" w:lineRule="exact"/>
        <w:rPr>
          <w:sz w:val="24"/>
          <w:szCs w:val="24"/>
          <w:color w:val="auto"/>
        </w:rPr>
      </w:pPr>
    </w:p>
    <w:p>
      <w:pPr>
        <w:ind w:left="260"/>
        <w:spacing w:after="0" w:line="150" w:lineRule="exact"/>
        <w:rPr>
          <w:sz w:val="20"/>
          <w:szCs w:val="20"/>
          <w:color w:val="auto"/>
        </w:rPr>
      </w:pPr>
      <w:r>
        <w:rPr>
          <w:rFonts w:ascii="MS PGothic" w:cs="MS PGothic" w:eastAsia="MS PGothic" w:hAnsi="MS PGothic"/>
          <w:sz w:val="13"/>
          <w:szCs w:val="13"/>
          <w:color w:val="auto"/>
          <w:highlight w:val="black"/>
        </w:rPr>
        <w:t>☐</w:t>
      </w:r>
      <w:r>
        <w:rPr>
          <w:rFonts w:ascii="Times New Roman" w:cs="Times New Roman" w:eastAsia="Times New Roman" w:hAnsi="Times New Roman"/>
          <w:sz w:val="13"/>
          <w:szCs w:val="13"/>
          <w:color w:val="auto"/>
        </w:rPr>
        <w:t>Written communications pursuant to Rule 425 under the Securities Act (17 CFR 230.425)</w:t>
      </w:r>
    </w:p>
    <w:p>
      <w:pPr>
        <w:spacing w:after="0" w:line="48" w:lineRule="exact"/>
        <w:rPr>
          <w:sz w:val="24"/>
          <w:szCs w:val="24"/>
          <w:color w:val="auto"/>
        </w:rPr>
      </w:pPr>
    </w:p>
    <w:p>
      <w:pPr>
        <w:ind w:left="420" w:hanging="158"/>
        <w:spacing w:after="0"/>
        <w:tabs>
          <w:tab w:leader="none" w:pos="420" w:val="left"/>
        </w:tabs>
        <w:numPr>
          <w:ilvl w:val="0"/>
          <w:numId w:val="1"/>
        </w:numPr>
        <w:rPr>
          <w:rFonts w:ascii="MS PGothic" w:cs="MS PGothic" w:eastAsia="MS PGothic" w:hAnsi="MS PGothic"/>
          <w:sz w:val="13"/>
          <w:szCs w:val="13"/>
          <w:color w:val="auto"/>
          <w:highlight w:val="black"/>
        </w:rPr>
      </w:pPr>
      <w:r>
        <w:rPr>
          <w:rFonts w:ascii="Times New Roman" w:cs="Times New Roman" w:eastAsia="Times New Roman" w:hAnsi="Times New Roman"/>
          <w:sz w:val="13"/>
          <w:szCs w:val="13"/>
          <w:color w:val="auto"/>
        </w:rPr>
        <w:t>Soliciting material pursuant to Rule 14a-12 under the Exchange Act (17 CFR 240.14a-12)</w:t>
      </w:r>
    </w:p>
    <w:p>
      <w:pPr>
        <w:spacing w:after="0" w:line="17" w:lineRule="exact"/>
        <w:rPr>
          <w:rFonts w:ascii="MS PGothic" w:cs="MS PGothic" w:eastAsia="MS PGothic" w:hAnsi="MS PGothic"/>
          <w:sz w:val="13"/>
          <w:szCs w:val="13"/>
          <w:color w:val="auto"/>
          <w:highlight w:val="black"/>
        </w:rPr>
      </w:pPr>
    </w:p>
    <w:p>
      <w:pPr>
        <w:ind w:left="420" w:hanging="158"/>
        <w:spacing w:after="0"/>
        <w:tabs>
          <w:tab w:leader="none" w:pos="420" w:val="left"/>
        </w:tabs>
        <w:numPr>
          <w:ilvl w:val="0"/>
          <w:numId w:val="1"/>
        </w:numPr>
        <w:rPr>
          <w:rFonts w:ascii="MS PGothic" w:cs="MS PGothic" w:eastAsia="MS PGothic" w:hAnsi="MS PGothic"/>
          <w:sz w:val="13"/>
          <w:szCs w:val="13"/>
          <w:color w:val="auto"/>
          <w:highlight w:val="black"/>
        </w:rPr>
      </w:pPr>
      <w:r>
        <w:rPr>
          <w:rFonts w:ascii="Times New Roman" w:cs="Times New Roman" w:eastAsia="Times New Roman" w:hAnsi="Times New Roman"/>
          <w:sz w:val="13"/>
          <w:szCs w:val="13"/>
          <w:color w:val="auto"/>
        </w:rPr>
        <w:t>Pre-commencement communications pursuant to Rule 14d-2(b) under the Exchange Act (17 CFR 240.14d-2(b))</w:t>
      </w:r>
    </w:p>
    <w:p>
      <w:pPr>
        <w:spacing w:after="0" w:line="3" w:lineRule="exact"/>
        <w:rPr>
          <w:rFonts w:ascii="MS PGothic" w:cs="MS PGothic" w:eastAsia="MS PGothic" w:hAnsi="MS PGothic"/>
          <w:sz w:val="13"/>
          <w:szCs w:val="13"/>
          <w:color w:val="auto"/>
          <w:highlight w:val="black"/>
        </w:rPr>
      </w:pPr>
    </w:p>
    <w:p>
      <w:pPr>
        <w:ind w:left="420" w:hanging="158"/>
        <w:spacing w:after="0"/>
        <w:tabs>
          <w:tab w:leader="none" w:pos="420" w:val="left"/>
        </w:tabs>
        <w:numPr>
          <w:ilvl w:val="0"/>
          <w:numId w:val="1"/>
        </w:numPr>
        <w:rPr>
          <w:rFonts w:ascii="MS PGothic" w:cs="MS PGothic" w:eastAsia="MS PGothic" w:hAnsi="MS PGothic"/>
          <w:sz w:val="13"/>
          <w:szCs w:val="13"/>
          <w:color w:val="auto"/>
          <w:highlight w:val="black"/>
        </w:rPr>
      </w:pPr>
      <w:r>
        <w:rPr>
          <w:rFonts w:ascii="Times New Roman" w:cs="Times New Roman" w:eastAsia="Times New Roman" w:hAnsi="Times New Roman"/>
          <w:sz w:val="13"/>
          <w:szCs w:val="13"/>
          <w:color w:val="auto"/>
        </w:rPr>
        <w:t>Pre-commencement communications pursuant to Rule 13e-4(c) under the Exchange Act (17 CFR 240.13e-4(c))</w:t>
      </w:r>
    </w:p>
    <w:p>
      <w:pPr>
        <w:spacing w:after="0" w:line="107"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auto"/>
        </w:rPr>
        <w:t>Securities registered pursuant to Section 12(b) of the Act:</w:t>
      </w:r>
    </w:p>
    <w:p>
      <w:pPr>
        <w:spacing w:after="0" w:line="22" w:lineRule="exact"/>
        <w:rPr>
          <w:sz w:val="24"/>
          <w:szCs w:val="24"/>
          <w:color w:val="auto"/>
        </w:rPr>
      </w:pPr>
    </w:p>
    <w:tbl>
      <w:tblPr>
        <w:tblLayout w:type="fixed"/>
        <w:tblInd w:w="10" w:type="dxa"/>
        <w:tblCellMar>
          <w:top w:w="0" w:type="dxa"/>
          <w:left w:w="0" w:type="dxa"/>
          <w:bottom w:w="0" w:type="dxa"/>
          <w:right w:w="0" w:type="dxa"/>
        </w:tblCellMar>
      </w:tblPr>
      <w:tr>
        <w:trPr>
          <w:trHeight w:val="174"/>
        </w:trPr>
        <w:tc>
          <w:tcPr>
            <w:tcW w:w="45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9"/>
              </w:rPr>
              <w:t>Title of each class</w:t>
            </w:r>
          </w:p>
        </w:tc>
        <w:tc>
          <w:tcPr>
            <w:tcW w:w="21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Trading Symbol(s)</w:t>
            </w:r>
          </w:p>
        </w:tc>
        <w:tc>
          <w:tcPr>
            <w:tcW w:w="46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Name of each exchange on which registered</w:t>
            </w:r>
          </w:p>
        </w:tc>
      </w:tr>
      <w:tr>
        <w:trPr>
          <w:trHeight w:val="160"/>
        </w:trPr>
        <w:tc>
          <w:tcPr>
            <w:tcW w:w="45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Common Stock, $0.01 par value</w:t>
            </w:r>
          </w:p>
        </w:tc>
        <w:tc>
          <w:tcPr>
            <w:tcW w:w="2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GBCI</w:t>
            </w:r>
          </w:p>
        </w:tc>
        <w:tc>
          <w:tcPr>
            <w:tcW w:w="46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The New York Stock Exchange</w:t>
            </w:r>
          </w:p>
        </w:tc>
      </w:tr>
    </w:tbl>
    <w:p>
      <w:pPr>
        <w:spacing w:after="0" w:line="210" w:lineRule="exact"/>
        <w:rPr>
          <w:sz w:val="24"/>
          <w:szCs w:val="24"/>
          <w:color w:val="auto"/>
        </w:rPr>
      </w:pPr>
    </w:p>
    <w:p>
      <w:pPr>
        <w:jc w:val="both"/>
        <w:spacing w:after="0" w:line="260" w:lineRule="auto"/>
        <w:rPr>
          <w:sz w:val="20"/>
          <w:szCs w:val="20"/>
          <w:color w:val="auto"/>
        </w:rPr>
      </w:pPr>
      <w:r>
        <w:rPr>
          <w:rFonts w:ascii="Times New Roman" w:cs="Times New Roman" w:eastAsia="Times New Roman" w:hAnsi="Times New Roman"/>
          <w:sz w:val="13"/>
          <w:szCs w:val="13"/>
          <w:color w:val="auto"/>
        </w:rPr>
        <w:t>Indicate by check mark whether the registrant is an emerging growth company as defined in as defined in Rule 405 of the Securities Act of 1933 (§230.405 of this chapter) or Rule 12b-2 of the Securities Exchange Act of 1934 (§240.12b-2 of this chapter).</w:t>
      </w:r>
    </w:p>
    <w:p>
      <w:pPr>
        <w:ind w:left="420"/>
        <w:spacing w:after="0" w:line="150" w:lineRule="exact"/>
        <w:rPr>
          <w:sz w:val="20"/>
          <w:szCs w:val="20"/>
          <w:color w:val="auto"/>
        </w:rPr>
      </w:pPr>
      <w:r>
        <w:rPr>
          <w:rFonts w:ascii="Times New Roman" w:cs="Times New Roman" w:eastAsia="Times New Roman" w:hAnsi="Times New Roman"/>
          <w:sz w:val="13"/>
          <w:szCs w:val="13"/>
          <w:color w:val="auto"/>
        </w:rPr>
        <w:t xml:space="preserve">Emerging growth company </w:t>
      </w:r>
      <w:r>
        <w:rPr>
          <w:rFonts w:ascii="MS PGothic" w:cs="MS PGothic" w:eastAsia="MS PGothic" w:hAnsi="MS PGothic"/>
          <w:sz w:val="13"/>
          <w:szCs w:val="13"/>
          <w:color w:val="auto"/>
          <w:highlight w:val="black"/>
        </w:rPr>
        <w:t>☐</w:t>
      </w:r>
    </w:p>
    <w:p>
      <w:pPr>
        <w:spacing w:after="0" w:line="165" w:lineRule="exact"/>
        <w:rPr>
          <w:sz w:val="24"/>
          <w:szCs w:val="24"/>
          <w:color w:val="auto"/>
        </w:rPr>
      </w:pPr>
    </w:p>
    <w:p>
      <w:pPr>
        <w:jc w:val="both"/>
        <w:ind w:right="20"/>
        <w:spacing w:after="0" w:line="172" w:lineRule="exact"/>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highlight w:val="black"/>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349885</wp:posOffset>
            </wp:positionV>
            <wp:extent cx="7203440" cy="368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700" w:right="29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4"/>
          <w:szCs w:val="14"/>
          <w:b w:val="1"/>
          <w:bCs w:val="1"/>
          <w:color w:val="auto"/>
        </w:rPr>
        <w:t>Item 7.01 REGULATION FD DISCLOSURE</w:t>
      </w:r>
    </w:p>
    <w:p>
      <w:pPr>
        <w:spacing w:after="0" w:line="16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4"/>
          <w:szCs w:val="14"/>
          <w:color w:val="auto"/>
        </w:rPr>
        <w:t>On February 12, 2025, Glacier Bancorp, Inc. (“Company”), Kalispell, Montana, made an investor presentation which is also posted on its website. The presentation is furnished as Exhibit 99.1 to this report.</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9.01 FINANCIAL STATEMENTS AND EXHIBITS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 Exhibits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investor presentation described in Item 7.01 is furnished with this report as Exhibit 99.1.</w:t>
      </w:r>
    </w:p>
    <w:p>
      <w:pPr>
        <w:spacing w:after="0" w:line="172" w:lineRule="exact"/>
        <w:rPr>
          <w:sz w:val="20"/>
          <w:szCs w:val="20"/>
          <w:color w:val="auto"/>
        </w:rPr>
      </w:pPr>
    </w:p>
    <w:p>
      <w:pPr>
        <w:ind w:left="420"/>
        <w:spacing w:after="0"/>
        <w:tabs>
          <w:tab w:leader="none" w:pos="800" w:val="left"/>
        </w:tabs>
        <w:rPr>
          <w:sz w:val="20"/>
          <w:szCs w:val="20"/>
          <w:color w:val="auto"/>
        </w:rPr>
      </w:pPr>
      <w:r>
        <w:rPr>
          <w:rFonts w:ascii="Times New Roman" w:cs="Times New Roman" w:eastAsia="Times New Roman" w:hAnsi="Times New Roman"/>
          <w:sz w:val="14"/>
          <w:szCs w:val="14"/>
          <w:u w:val="single" w:color="auto"/>
          <w:color w:val="0000FF"/>
        </w:rPr>
        <w:t>99.1</w:t>
      </w:r>
      <w:r>
        <w:rPr>
          <w:sz w:val="20"/>
          <w:szCs w:val="20"/>
          <w:color w:val="auto"/>
        </w:rPr>
        <w:tab/>
      </w:r>
      <w:r>
        <w:rPr>
          <w:rFonts w:ascii="Times New Roman" w:cs="Times New Roman" w:eastAsia="Times New Roman" w:hAnsi="Times New Roman"/>
          <w:sz w:val="14"/>
          <w:szCs w:val="14"/>
          <w:color w:val="auto"/>
        </w:rPr>
        <w:t>Investor Presentation</w:t>
      </w:r>
    </w:p>
    <w:p>
      <w:pPr>
        <w:spacing w:after="0" w:line="172" w:lineRule="exact"/>
        <w:rPr>
          <w:sz w:val="20"/>
          <w:szCs w:val="20"/>
          <w:color w:val="auto"/>
        </w:rPr>
      </w:pPr>
    </w:p>
    <w:p>
      <w:pPr>
        <w:ind w:left="420"/>
        <w:spacing w:after="0"/>
        <w:tabs>
          <w:tab w:leader="none" w:pos="760" w:val="left"/>
        </w:tabs>
        <w:rPr>
          <w:sz w:val="20"/>
          <w:szCs w:val="20"/>
          <w:color w:val="auto"/>
        </w:rPr>
      </w:pPr>
      <w:r>
        <w:rPr>
          <w:rFonts w:ascii="Times New Roman" w:cs="Times New Roman" w:eastAsia="Times New Roman" w:hAnsi="Times New Roman"/>
          <w:sz w:val="14"/>
          <w:szCs w:val="14"/>
          <w:color w:val="auto"/>
        </w:rPr>
        <w:t>104</w:t>
        <w:tab/>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473710</wp:posOffset>
            </wp:positionV>
            <wp:extent cx="7203440" cy="368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632" w:right="299" w:bottom="1440" w:gutter="0" w:footer="0" w:header="0"/>
        </w:sectPr>
      </w:pPr>
    </w:p>
    <w:bookmarkStart w:id="2" w:name="page3"/>
    <w:bookmarkEnd w:id="2"/>
    <w:p>
      <w:pPr>
        <w:ind w:left="5180"/>
        <w:spacing w:after="0"/>
        <w:rPr>
          <w:sz w:val="20"/>
          <w:szCs w:val="20"/>
          <w:color w:val="auto"/>
        </w:rPr>
      </w:pPr>
      <w:r>
        <w:rPr>
          <w:rFonts w:ascii="Times New Roman" w:cs="Times New Roman" w:eastAsia="Times New Roman" w:hAnsi="Times New Roman"/>
          <w:sz w:val="14"/>
          <w:szCs w:val="14"/>
          <w:b w:val="1"/>
          <w:bCs w:val="1"/>
          <w:color w:val="auto"/>
        </w:rPr>
        <w:t>SIGNATURES</w:t>
      </w: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Pursuant to the requirements of the Securities Exchange Act of 1934, the registrant has duly caused this report to be signed on its behalf by the undersigned hereunto duly authorized.</w:t>
      </w:r>
    </w:p>
    <w:p>
      <w:pPr>
        <w:spacing w:after="0" w:line="190" w:lineRule="exact"/>
        <w:rPr>
          <w:sz w:val="20"/>
          <w:szCs w:val="20"/>
          <w:color w:val="auto"/>
        </w:rPr>
      </w:pPr>
    </w:p>
    <w:p>
      <w:pPr>
        <w:ind w:left="860"/>
        <w:spacing w:after="0"/>
        <w:tabs>
          <w:tab w:leader="none" w:pos="1680" w:val="left"/>
          <w:tab w:leader="none" w:pos="5260" w:val="left"/>
        </w:tabs>
        <w:rPr>
          <w:sz w:val="20"/>
          <w:szCs w:val="20"/>
          <w:color w:val="auto"/>
        </w:rPr>
      </w:pPr>
      <w:r>
        <w:rPr>
          <w:rFonts w:ascii="Times New Roman" w:cs="Times New Roman" w:eastAsia="Times New Roman" w:hAnsi="Times New Roman"/>
          <w:sz w:val="14"/>
          <w:szCs w:val="14"/>
          <w:color w:val="auto"/>
        </w:rPr>
        <w:t>Dated:</w:t>
      </w:r>
      <w:r>
        <w:rPr>
          <w:sz w:val="20"/>
          <w:szCs w:val="20"/>
          <w:color w:val="auto"/>
        </w:rPr>
        <w:tab/>
      </w:r>
      <w:r>
        <w:rPr>
          <w:rFonts w:ascii="Times New Roman" w:cs="Times New Roman" w:eastAsia="Times New Roman" w:hAnsi="Times New Roman"/>
          <w:sz w:val="14"/>
          <w:szCs w:val="14"/>
          <w:color w:val="auto"/>
        </w:rPr>
        <w:t>February 12, 2025</w:t>
      </w:r>
      <w:r>
        <w:rPr>
          <w:sz w:val="20"/>
          <w:szCs w:val="20"/>
          <w:color w:val="auto"/>
        </w:rPr>
        <w:tab/>
      </w:r>
      <w:r>
        <w:rPr>
          <w:rFonts w:ascii="Times New Roman" w:cs="Times New Roman" w:eastAsia="Times New Roman" w:hAnsi="Times New Roman"/>
          <w:sz w:val="14"/>
          <w:szCs w:val="14"/>
          <w:color w:val="auto"/>
        </w:rPr>
        <w:t>GLACIER BANCORP, INC.</w:t>
      </w:r>
    </w:p>
    <w:p>
      <w:pPr>
        <w:spacing w:after="0" w:line="200" w:lineRule="exact"/>
        <w:rPr>
          <w:sz w:val="20"/>
          <w:szCs w:val="20"/>
          <w:color w:val="auto"/>
        </w:rPr>
      </w:pPr>
    </w:p>
    <w:p>
      <w:pPr>
        <w:spacing w:after="0" w:line="251"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4"/>
          <w:szCs w:val="14"/>
          <w:color w:val="auto"/>
        </w:rPr>
        <w:t>/s/ Randall M. Chesler</w:t>
      </w:r>
    </w:p>
    <w:p>
      <w:pPr>
        <w:spacing w:after="0" w:line="28" w:lineRule="exact"/>
        <w:rPr>
          <w:sz w:val="20"/>
          <w:szCs w:val="20"/>
          <w:color w:val="auto"/>
        </w:rPr>
      </w:pPr>
    </w:p>
    <w:p>
      <w:pPr>
        <w:ind w:left="5280"/>
        <w:spacing w:after="0"/>
        <w:tabs>
          <w:tab w:leader="none" w:pos="5860" w:val="left"/>
        </w:tabs>
        <w:rPr>
          <w:sz w:val="20"/>
          <w:szCs w:val="20"/>
          <w:color w:val="auto"/>
        </w:rPr>
      </w:pP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4"/>
          <w:szCs w:val="14"/>
          <w:color w:val="auto"/>
        </w:rPr>
        <w:t>Randall M. Chesler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3343910</wp:posOffset>
            </wp:positionH>
            <wp:positionV relativeFrom="paragraph">
              <wp:posOffset>-101600</wp:posOffset>
            </wp:positionV>
            <wp:extent cx="3286125"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286125" cy="5715"/>
                    </a:xfrm>
                    <a:prstGeom prst="rect">
                      <a:avLst/>
                    </a:prstGeom>
                    <a:noFill/>
                  </pic:spPr>
                </pic:pic>
              </a:graphicData>
            </a:graphic>
          </wp:anchor>
        </w:drawing>
      </w:r>
    </w:p>
    <w:p>
      <w:pPr>
        <w:spacing w:after="0" w:line="7"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4"/>
          <w:szCs w:val="14"/>
          <w:color w:val="auto"/>
        </w:rPr>
        <w:t>President and Chief Executive Officer</w:t>
      </w:r>
    </w:p>
    <w:p>
      <w:pPr>
        <w:sectPr>
          <w:pgSz w:w="11900" w:h="16838" w:orient="portrait"/>
          <w:cols w:equalWidth="0" w:num="1">
            <w:col w:w="10460"/>
          </w:cols>
          <w:pgMar w:left="300" w:top="641" w:right="1139" w:bottom="1440" w:gutter="0" w:footer="0" w:header="0"/>
        </w:sectPr>
      </w:pPr>
    </w:p>
    <w:bookmarkStart w:id="3" w:name="page4"/>
    <w:bookmarkEnd w:id="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271780</wp:posOffset>
            </wp:positionV>
            <wp:extent cx="7130415" cy="48501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0415" cy="48501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855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0415" cy="48558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850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0415" cy="48501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8501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0415" cy="48501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8501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0415" cy="48501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8501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0415" cy="48501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8501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0415" cy="48501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8501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0415" cy="48501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8501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0415" cy="48501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8501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0415" cy="48501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8501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0415" cy="48501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8501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0415" cy="48501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855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0415" cy="48558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8501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0415" cy="48501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85013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0415" cy="48501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85013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0415" cy="48501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85013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0415" cy="48501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85013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0415" cy="48501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85013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0415" cy="48501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8501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0415" cy="48501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85013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0415" cy="48501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85013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0415" cy="48501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85013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0415" cy="48501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85013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0415" cy="48501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85013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0415" cy="48501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85013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0415" cy="48501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85013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0415" cy="48501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85013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0415" cy="48501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85013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0415" cy="48501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85013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0415" cy="48501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85013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0415" cy="48501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85013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0415" cy="48501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85013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0415" cy="48501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85013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0415" cy="48501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85013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0415" cy="48501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85013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0415" cy="48501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85013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0415" cy="48501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85013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0415" cy="48501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85013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0415" cy="48501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85013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0415" cy="48501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85013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0415" cy="48501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85013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0415" cy="48501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85013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0415" cy="48501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85013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0415" cy="48501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 w:name="page48"/>
    <w:bookmarkEnd w:id="4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85013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0415" cy="48501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 w:name="page49"/>
    <w:bookmarkEnd w:id="4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85013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0415" cy="48501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 w:name="page50"/>
    <w:bookmarkEnd w:id="4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85013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0415" cy="48501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0" w:name="page51"/>
    <w:bookmarkEnd w:id="5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85013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0415" cy="48501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1" w:name="page52"/>
    <w:bookmarkEnd w:id="5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85013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0415" cy="48501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2" w:name="page53"/>
    <w:bookmarkEnd w:id="5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85013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0415" cy="48501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3" w:name="page54"/>
    <w:bookmarkEnd w:id="5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85013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0415" cy="48501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4" w:name="page55"/>
    <w:bookmarkEnd w:id="5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84441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0415" cy="48444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5" w:name="page56"/>
    <w:bookmarkEnd w:id="5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2025-02-12T15:56:47Z</dcterms:created>
  <dcterms:modified xsi:type="dcterms:W3CDTF">2025-02-12T15:56:47Z</dcterms:modified>
</cp:coreProperties>
</file>