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940"/>
        <w:spacing w:after="0"/>
        <w:rPr>
          <w:sz w:val="20"/>
          <w:szCs w:val="20"/>
          <w:color w:val="auto"/>
        </w:rPr>
      </w:pPr>
      <w:r>
        <w:rPr>
          <w:rFonts w:ascii="Times New Roman" w:cs="Times New Roman" w:eastAsia="Times New Roman" w:hAnsi="Times New Roman"/>
          <w:sz w:val="6"/>
          <w:szCs w:val="6"/>
          <w:u w:val="single" w:color="auto"/>
          <w:color w:val="auto"/>
        </w:rPr>
        <w:t>________________________________________________________________________________________________________________________</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6"/>
          <w:szCs w:val="6"/>
          <w:u w:val="single" w:color="auto"/>
          <w:color w:val="auto"/>
        </w:rPr>
        <w:t>________________________________________________________________________________________________________________________</w:t>
      </w:r>
    </w:p>
    <w:p>
      <w:pPr>
        <w:spacing w:after="0" w:line="196" w:lineRule="exact"/>
        <w:rPr>
          <w:sz w:val="24"/>
          <w:szCs w:val="24"/>
          <w:color w:val="auto"/>
        </w:rPr>
      </w:pPr>
    </w:p>
    <w:p>
      <w:pPr>
        <w:ind w:left="260" w:right="4560" w:hanging="255"/>
        <w:spacing w:after="0" w:line="252" w:lineRule="auto"/>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4"/>
          <w:szCs w:val="14"/>
          <w:b w:val="1"/>
          <w:bCs w:val="1"/>
          <w:color w:val="auto"/>
        </w:rPr>
        <w:t>For the fiscal year ended December 31, 2024</w:t>
      </w:r>
    </w:p>
    <w:p>
      <w:pPr>
        <w:spacing w:after="0" w:line="7" w:lineRule="exact"/>
        <w:rPr>
          <w:sz w:val="24"/>
          <w:szCs w:val="24"/>
          <w:color w:val="auto"/>
        </w:rPr>
      </w:pPr>
    </w:p>
    <w:p>
      <w:pPr>
        <w:ind w:left="260" w:right="4280" w:hanging="255"/>
        <w:spacing w:after="0" w:line="289" w:lineRule="auto"/>
        <w:tabs>
          <w:tab w:leader="none" w:pos="18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b w:val="1"/>
          <w:bCs w:val="1"/>
          <w:color w:val="auto"/>
        </w:rPr>
        <w:t>For the transition period from __________ to __________</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 xml:space="preserve">Commission file number </w:t>
      </w:r>
      <w:r>
        <w:rPr>
          <w:rFonts w:ascii="Times New Roman" w:cs="Times New Roman" w:eastAsia="Times New Roman" w:hAnsi="Times New Roman"/>
          <w:sz w:val="17"/>
          <w:szCs w:val="17"/>
          <w:b w:val="1"/>
          <w:bCs w:val="1"/>
          <w:u w:val="single" w:color="auto"/>
          <w:color w:val="auto"/>
        </w:rPr>
        <w:t>000-18911</w:t>
      </w:r>
    </w:p>
    <w:p>
      <w:pPr>
        <w:spacing w:after="0" w:line="2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6"/>
          <w:szCs w:val="6"/>
          <w:u w:val="single" w:color="auto"/>
          <w:color w:val="auto"/>
        </w:rPr>
        <w:t>________________________________________________________________________________________________________________________</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GLACIER BANCORP, INC.</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1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6"/>
          <w:szCs w:val="6"/>
          <w:u w:val="single" w:color="auto"/>
          <w:color w:val="auto"/>
        </w:rPr>
        <w:t>________________________________________________________________________________________________________________________</w:t>
      </w:r>
    </w:p>
    <w:p>
      <w:pPr>
        <w:spacing w:after="0" w:line="13"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580" w:type="dxa"/>
            <w:vAlign w:val="bottom"/>
            <w:gridSpan w:val="2"/>
          </w:tcPr>
          <w:p>
            <w:pPr>
              <w:jc w:val="center"/>
              <w:ind w:left="2013"/>
              <w:spacing w:after="0"/>
              <w:rPr>
                <w:sz w:val="20"/>
                <w:szCs w:val="20"/>
                <w:color w:val="auto"/>
              </w:rPr>
            </w:pPr>
            <w:r>
              <w:rPr>
                <w:rFonts w:ascii="Times New Roman" w:cs="Times New Roman" w:eastAsia="Times New Roman" w:hAnsi="Times New Roman"/>
                <w:sz w:val="14"/>
                <w:szCs w:val="14"/>
                <w:b w:val="1"/>
                <w:bCs w:val="1"/>
                <w:color w:val="auto"/>
                <w:w w:val="99"/>
              </w:rPr>
              <w:t>Montana</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Pr>
          <w:p>
            <w:pPr>
              <w:jc w:val="right"/>
              <w:ind w:right="2434"/>
              <w:spacing w:after="0"/>
              <w:rPr>
                <w:sz w:val="20"/>
                <w:szCs w:val="20"/>
                <w:color w:val="auto"/>
              </w:rPr>
            </w:pPr>
            <w:r>
              <w:rPr>
                <w:rFonts w:ascii="Times New Roman" w:cs="Times New Roman" w:eastAsia="Times New Roman" w:hAnsi="Times New Roman"/>
                <w:sz w:val="14"/>
                <w:szCs w:val="14"/>
                <w:b w:val="1"/>
                <w:bCs w:val="1"/>
                <w:color w:val="auto"/>
              </w:rPr>
              <w:t>81-0519541</w:t>
            </w:r>
          </w:p>
        </w:tc>
        <w:tc>
          <w:tcPr>
            <w:tcW w:w="0" w:type="dxa"/>
            <w:vAlign w:val="bottom"/>
          </w:tcPr>
          <w:p>
            <w:pPr>
              <w:spacing w:after="0"/>
              <w:rPr>
                <w:sz w:val="1"/>
                <w:szCs w:val="1"/>
                <w:color w:val="auto"/>
              </w:rPr>
            </w:pPr>
          </w:p>
        </w:tc>
      </w:tr>
      <w:tr>
        <w:trPr>
          <w:trHeight w:val="149"/>
        </w:trPr>
        <w:tc>
          <w:tcPr>
            <w:tcW w:w="7500" w:type="dxa"/>
            <w:vAlign w:val="bottom"/>
            <w:gridSpan w:val="7"/>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8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c>
          <w:tcPr>
            <w:tcW w:w="0" w:type="dxa"/>
            <w:vAlign w:val="bottom"/>
          </w:tcPr>
          <w:p>
            <w:pPr>
              <w:spacing w:after="0"/>
              <w:rPr>
                <w:sz w:val="1"/>
                <w:szCs w:val="1"/>
                <w:color w:val="auto"/>
              </w:rPr>
            </w:pPr>
          </w:p>
        </w:tc>
      </w:tr>
      <w:tr>
        <w:trPr>
          <w:trHeight w:val="191"/>
        </w:trPr>
        <w:tc>
          <w:tcPr>
            <w:tcW w:w="282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49 Commons Loop</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Kalispell,</w:t>
            </w:r>
          </w:p>
        </w:tc>
        <w:tc>
          <w:tcPr>
            <w:tcW w:w="3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Montana</w:t>
            </w:r>
          </w:p>
        </w:tc>
        <w:tc>
          <w:tcPr>
            <w:tcW w:w="3800" w:type="dxa"/>
            <w:vAlign w:val="bottom"/>
          </w:tcPr>
          <w:p>
            <w:pPr>
              <w:jc w:val="right"/>
              <w:ind w:right="2594"/>
              <w:spacing w:after="0"/>
              <w:rPr>
                <w:sz w:val="20"/>
                <w:szCs w:val="20"/>
                <w:color w:val="auto"/>
              </w:rPr>
            </w:pPr>
            <w:r>
              <w:rPr>
                <w:rFonts w:ascii="Times New Roman" w:cs="Times New Roman" w:eastAsia="Times New Roman" w:hAnsi="Times New Roman"/>
                <w:sz w:val="14"/>
                <w:szCs w:val="14"/>
                <w:b w:val="1"/>
                <w:bCs w:val="1"/>
                <w:color w:val="auto"/>
              </w:rPr>
              <w:t>59901</w:t>
            </w:r>
          </w:p>
        </w:tc>
        <w:tc>
          <w:tcPr>
            <w:tcW w:w="0" w:type="dxa"/>
            <w:vAlign w:val="bottom"/>
          </w:tcPr>
          <w:p>
            <w:pPr>
              <w:spacing w:after="0"/>
              <w:rPr>
                <w:sz w:val="1"/>
                <w:szCs w:val="1"/>
                <w:color w:val="auto"/>
              </w:rPr>
            </w:pPr>
          </w:p>
        </w:tc>
      </w:tr>
      <w:tr>
        <w:trPr>
          <w:trHeight w:val="149"/>
        </w:trPr>
        <w:tc>
          <w:tcPr>
            <w:tcW w:w="7500" w:type="dxa"/>
            <w:vAlign w:val="bottom"/>
            <w:gridSpan w:val="7"/>
          </w:tcPr>
          <w:p>
            <w:pPr>
              <w:jc w:val="center"/>
              <w:ind w:right="18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80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(406) 756-4200</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6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920" w:type="dxa"/>
            <w:vAlign w:val="bottom"/>
            <w:gridSpan w:val="5"/>
          </w:tcPr>
          <w:p>
            <w:pPr>
              <w:jc w:val="right"/>
              <w:ind w:right="160"/>
              <w:spacing w:after="0"/>
              <w:rPr>
                <w:sz w:val="20"/>
                <w:szCs w:val="20"/>
                <w:color w:val="auto"/>
              </w:rPr>
            </w:pPr>
            <w:r>
              <w:rPr>
                <w:rFonts w:ascii="Times New Roman" w:cs="Times New Roman" w:eastAsia="Times New Roman" w:hAnsi="Times New Roman"/>
                <w:sz w:val="6"/>
                <w:szCs w:val="6"/>
                <w:color w:val="auto"/>
              </w:rPr>
              <w:t>________________________________________________________________________________________________________________________</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820" w:type="dxa"/>
            <w:vAlign w:val="bottom"/>
            <w:tcBorders>
              <w:left w:val="single" w:sz="8" w:color="auto"/>
              <w:bottom w:val="single" w:sz="8" w:color="auto"/>
            </w:tcBorders>
          </w:tcPr>
          <w:p>
            <w:pPr>
              <w:jc w:val="center"/>
              <w:ind w:left="1573"/>
              <w:spacing w:after="0"/>
              <w:rPr>
                <w:sz w:val="20"/>
                <w:szCs w:val="20"/>
                <w:color w:val="auto"/>
              </w:rPr>
            </w:pPr>
            <w:r>
              <w:rPr>
                <w:rFonts w:ascii="Times New Roman" w:cs="Times New Roman" w:eastAsia="Times New Roman" w:hAnsi="Times New Roman"/>
                <w:sz w:val="14"/>
                <w:szCs w:val="14"/>
                <w:color w:val="auto"/>
              </w:rPr>
              <w:t>Title of each class</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Trading Symbol(s)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3580" w:type="dxa"/>
            <w:vAlign w:val="bottom"/>
            <w:tcBorders>
              <w:left w:val="single" w:sz="8" w:color="auto"/>
              <w:bottom w:val="single" w:sz="8" w:color="auto"/>
            </w:tcBorders>
            <w:gridSpan w:val="2"/>
          </w:tcPr>
          <w:p>
            <w:pPr>
              <w:jc w:val="center"/>
              <w:ind w:left="813"/>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GBCI</w:t>
            </w:r>
          </w:p>
        </w:tc>
        <w:tc>
          <w:tcPr>
            <w:tcW w:w="600" w:type="dxa"/>
            <w:vAlign w:val="bottom"/>
            <w:tcBorders>
              <w:bottom w:val="single" w:sz="8" w:color="auto"/>
            </w:tcBorders>
            <w:gridSpan w:val="2"/>
          </w:tcPr>
          <w:p>
            <w:pPr>
              <w:spacing w:after="0"/>
              <w:rPr>
                <w:sz w:val="14"/>
                <w:szCs w:val="14"/>
                <w:color w:val="auto"/>
              </w:rPr>
            </w:pPr>
          </w:p>
        </w:tc>
        <w:tc>
          <w:tcPr>
            <w:tcW w:w="380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26" w:lineRule="exact"/>
        <w:rPr>
          <w:sz w:val="24"/>
          <w:szCs w:val="24"/>
          <w:color w:val="auto"/>
        </w:rPr>
      </w:pPr>
    </w:p>
    <w:p>
      <w:pPr>
        <w:ind w:right="3860"/>
        <w:spacing w:after="0" w:line="18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20"/>
        <w:spacing w:after="0" w:line="16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ind w:right="240"/>
        <w:spacing w:after="0" w:line="15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360" w:type="dxa"/>
        <w:tblCellMar>
          <w:top w:w="0" w:type="dxa"/>
          <w:left w:w="0" w:type="dxa"/>
          <w:bottom w:w="0" w:type="dxa"/>
          <w:right w:w="0" w:type="dxa"/>
        </w:tblCellMar>
      </w:tblPr>
      <w:tr>
        <w:trPr>
          <w:trHeight w:val="180"/>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22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22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Emerging growth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8" w:lineRule="exact"/>
        <w:rPr>
          <w:sz w:val="24"/>
          <w:szCs w:val="24"/>
          <w:color w:val="auto"/>
        </w:rPr>
      </w:pPr>
    </w:p>
    <w:p>
      <w:pPr>
        <w:ind w:right="20"/>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3980"/>
        <w:spacing w:after="0" w:line="165"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4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tabs>
          <w:tab w:leader="none" w:pos="61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w:t>
      </w:r>
    </w:p>
    <w:p>
      <w:pPr>
        <w:spacing w:after="0" w:line="25"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3"/>
          <w:szCs w:val="13"/>
          <w:color w:val="auto"/>
        </w:rPr>
        <w:t>The aggregate market value of the voting common equity held by non-affiliates at June 30, 2024 (the last business day of the registrant’s most recently completed second fiscal quarter), was $4,208,735,197 (based on the average bid and asked price as quoted on The New York Stock Exchange as of the close of business on that date).</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number of shares of registrant’s common stock outstanding on February 18, 2025 was 113,403,941. No preferred shares are issued or </w:t>
      </w:r>
      <w:r>
        <w:rPr>
          <w:rFonts w:ascii="Times New Roman" w:cs="Times New Roman" w:eastAsia="Times New Roman" w:hAnsi="Times New Roman"/>
          <w:sz w:val="14"/>
          <w:szCs w:val="14"/>
          <w:color w:val="auto"/>
        </w:rPr>
        <w:t>outstanding.</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 Incorporated by Reference</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Portions of the Proxy Statement for the registrant’s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3"/>
          <w:szCs w:val="13"/>
          <w:color w:val="auto"/>
        </w:rPr>
        <w:t xml:space="preserve"> Annual Meeting of shareholders are incorporated by reference into Parts I and III of this Form 10-K.</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5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0" w:type="dxa"/>
            <w:vAlign w:val="bottom"/>
          </w:tcPr>
          <w:p>
            <w:pPr>
              <w:ind w:left="34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74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Business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1A</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Risk Factors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1B</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1C</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Cybersecurity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Legal Proceedings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4"/>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Mine Safety Disclosures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93"/>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74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Market for the Registrant’s Common Equity, Related Stockholder Matters and Issuer Purchases of Equity Securities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[Reserved]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7A</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Quantitative and Qualitative Disclosure about Market Risk</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Reports of Independent Registered Public Accounting Firm</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Consolidated Statements of Financial Condition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Consolidated Statements of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Consolidated Statements of Changes in Stockholders' Equity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9A</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Controls and Procedures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9B</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4"/>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9C</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Disclosures Regarding Foreign Jurisdictions that Prevent Inspections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39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Executive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0"/>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4"/>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Accounting Fees and Services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39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Exhibits, Financial Statement Schedules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4"/>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8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Form 10-K Summary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9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88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584"/>
        </w:trPr>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0" w:type="dxa"/>
            <w:vAlign w:val="bottom"/>
          </w:tcPr>
          <w:p>
            <w:pPr>
              <w:ind w:left="4300"/>
              <w:spacing w:after="0"/>
              <w:rPr>
                <w:sz w:val="20"/>
                <w:szCs w:val="20"/>
                <w:color w:val="auto"/>
              </w:rPr>
            </w:pPr>
            <w:r>
              <w:rPr>
                <w:rFonts w:ascii="Times New Roman" w:cs="Times New Roman" w:eastAsia="Times New Roman" w:hAnsi="Times New Roman"/>
                <w:sz w:val="14"/>
                <w:szCs w:val="14"/>
                <w:color w:val="auto"/>
              </w:rPr>
              <w:t>2</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8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2" w:name="page3"/>
    <w:bookmarkEnd w:id="2"/>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2025 Proxy Statement </w:t>
      </w:r>
      <w:r>
        <w:rPr>
          <w:rFonts w:ascii="Times New Roman" w:cs="Times New Roman" w:eastAsia="Times New Roman" w:hAnsi="Times New Roman"/>
          <w:sz w:val="12"/>
          <w:szCs w:val="12"/>
          <w:color w:val="auto"/>
        </w:rPr>
        <w:t>– the 2025 Annual Meeting Proxy Statement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ACL </w:t>
      </w:r>
      <w:r>
        <w:rPr>
          <w:rFonts w:ascii="Times New Roman" w:cs="Times New Roman" w:eastAsia="Times New Roman" w:hAnsi="Times New Roman"/>
          <w:sz w:val="13"/>
          <w:szCs w:val="13"/>
          <w:color w:val="auto"/>
        </w:rPr>
        <w:t>– allowance for credit losses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AI </w:t>
      </w:r>
      <w:r>
        <w:rPr>
          <w:rFonts w:ascii="Times New Roman" w:cs="Times New Roman" w:eastAsia="Times New Roman" w:hAnsi="Times New Roman"/>
          <w:sz w:val="13"/>
          <w:szCs w:val="13"/>
          <w:color w:val="auto"/>
        </w:rPr>
        <w:t>- Artificial Intelligence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ALCO </w:t>
      </w:r>
      <w:r>
        <w:rPr>
          <w:rFonts w:ascii="Times New Roman" w:cs="Times New Roman" w:eastAsia="Times New Roman" w:hAnsi="Times New Roman"/>
          <w:sz w:val="13"/>
          <w:szCs w:val="13"/>
          <w:color w:val="auto"/>
        </w:rPr>
        <w:t>– Asset Liability Committee</w:t>
      </w:r>
    </w:p>
    <w:p>
      <w:pPr>
        <w:spacing w:after="0" w:line="31" w:lineRule="exact"/>
        <w:rPr>
          <w:sz w:val="20"/>
          <w:szCs w:val="20"/>
          <w:color w:val="auto"/>
        </w:rPr>
      </w:pPr>
    </w:p>
    <w:p>
      <w:pPr>
        <w:ind w:left="80" w:right="180" w:hanging="84"/>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AML-CFT </w:t>
      </w:r>
      <w:r>
        <w:rPr>
          <w:rFonts w:ascii="Times New Roman" w:cs="Times New Roman" w:eastAsia="Times New Roman" w:hAnsi="Times New Roman"/>
          <w:sz w:val="13"/>
          <w:szCs w:val="13"/>
          <w:color w:val="auto"/>
        </w:rPr>
        <w:t>- Anti-Money Laundering and Countering the Financing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Terrorism</w:t>
      </w:r>
    </w:p>
    <w:p>
      <w:pPr>
        <w:spacing w:after="0" w:line="1" w:lineRule="exact"/>
        <w:rPr>
          <w:sz w:val="20"/>
          <w:szCs w:val="20"/>
          <w:color w:val="auto"/>
        </w:rPr>
      </w:pPr>
    </w:p>
    <w:p>
      <w:pPr>
        <w:ind w:right="1240"/>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Alta </w:t>
      </w:r>
      <w:r>
        <w:rPr>
          <w:rFonts w:ascii="Times New Roman" w:cs="Times New Roman" w:eastAsia="Times New Roman" w:hAnsi="Times New Roman"/>
          <w:sz w:val="13"/>
          <w:szCs w:val="13"/>
          <w:color w:val="auto"/>
        </w:rPr>
        <w:t>– Altabancorp and its subsidiary, Altabank</w:t>
      </w:r>
      <w:r>
        <w:rPr>
          <w:rFonts w:ascii="Times New Roman" w:cs="Times New Roman" w:eastAsia="Times New Roman" w:hAnsi="Times New Roman"/>
          <w:sz w:val="13"/>
          <w:szCs w:val="13"/>
          <w:b w:val="1"/>
          <w:bCs w:val="1"/>
          <w:color w:val="auto"/>
        </w:rPr>
        <w:t xml:space="preserve"> ASC </w:t>
      </w:r>
      <w:r>
        <w:rPr>
          <w:rFonts w:ascii="Times New Roman" w:cs="Times New Roman" w:eastAsia="Times New Roman" w:hAnsi="Times New Roman"/>
          <w:sz w:val="13"/>
          <w:szCs w:val="13"/>
          <w:color w:val="auto"/>
        </w:rPr>
        <w:t>– Accounting Standards Codification</w:t>
      </w:r>
      <w:r>
        <w:rPr>
          <w:rFonts w:ascii="Times New Roman" w:cs="Times New Roman" w:eastAsia="Times New Roman" w:hAnsi="Times New Roman"/>
          <w:sz w:val="16"/>
          <w:szCs w:val="16"/>
          <w:color w:val="auto"/>
          <w:vertAlign w:val="superscript"/>
        </w:rPr>
        <w:t>TM</w:t>
      </w:r>
      <w:r>
        <w:rPr>
          <w:rFonts w:ascii="Times New Roman" w:cs="Times New Roman" w:eastAsia="Times New Roman" w:hAnsi="Times New Roman"/>
          <w:sz w:val="13"/>
          <w:szCs w:val="13"/>
          <w:b w:val="1"/>
          <w:bCs w:val="1"/>
          <w:color w:val="auto"/>
        </w:rPr>
        <w:t xml:space="preserve"> ASU </w:t>
      </w:r>
      <w:r>
        <w:rPr>
          <w:rFonts w:ascii="Times New Roman" w:cs="Times New Roman" w:eastAsia="Times New Roman" w:hAnsi="Times New Roman"/>
          <w:sz w:val="13"/>
          <w:szCs w:val="13"/>
          <w:color w:val="auto"/>
        </w:rPr>
        <w:t>– Accounting Standards Update</w:t>
      </w:r>
      <w:r>
        <w:rPr>
          <w:rFonts w:ascii="Times New Roman" w:cs="Times New Roman" w:eastAsia="Times New Roman" w:hAnsi="Times New Roman"/>
          <w:sz w:val="13"/>
          <w:szCs w:val="13"/>
          <w:b w:val="1"/>
          <w:bCs w:val="1"/>
          <w:color w:val="auto"/>
        </w:rPr>
        <w:t xml:space="preserve"> ATM </w:t>
      </w:r>
      <w:r>
        <w:rPr>
          <w:rFonts w:ascii="Times New Roman" w:cs="Times New Roman" w:eastAsia="Times New Roman" w:hAnsi="Times New Roman"/>
          <w:sz w:val="13"/>
          <w:szCs w:val="13"/>
          <w:color w:val="auto"/>
        </w:rPr>
        <w:t>– automated teller machine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Bank </w:t>
      </w:r>
      <w:r>
        <w:rPr>
          <w:rFonts w:ascii="Times New Roman" w:cs="Times New Roman" w:eastAsia="Times New Roman" w:hAnsi="Times New Roman"/>
          <w:sz w:val="13"/>
          <w:szCs w:val="13"/>
          <w:color w:val="auto"/>
        </w:rPr>
        <w:t>– Glacier Bank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Basel III </w:t>
      </w:r>
      <w:r>
        <w:rPr>
          <w:rFonts w:ascii="Times New Roman" w:cs="Times New Roman" w:eastAsia="Times New Roman" w:hAnsi="Times New Roman"/>
          <w:sz w:val="13"/>
          <w:szCs w:val="13"/>
          <w:color w:val="auto"/>
        </w:rPr>
        <w:t>– third installment of the Basel Accords</w:t>
      </w:r>
    </w:p>
    <w:p>
      <w:pPr>
        <w:spacing w:after="0" w:line="20" w:lineRule="exact"/>
        <w:rPr>
          <w:sz w:val="20"/>
          <w:szCs w:val="20"/>
          <w:color w:val="auto"/>
        </w:rPr>
      </w:pPr>
    </w:p>
    <w:p>
      <w:pPr>
        <w:ind w:right="640"/>
        <w:spacing w:after="0" w:line="304" w:lineRule="auto"/>
        <w:rPr>
          <w:sz w:val="20"/>
          <w:szCs w:val="20"/>
          <w:color w:val="auto"/>
        </w:rPr>
      </w:pPr>
      <w:r>
        <w:rPr>
          <w:rFonts w:ascii="Times New Roman" w:cs="Times New Roman" w:eastAsia="Times New Roman" w:hAnsi="Times New Roman"/>
          <w:sz w:val="12"/>
          <w:szCs w:val="12"/>
          <w:b w:val="1"/>
          <w:bCs w:val="1"/>
          <w:color w:val="auto"/>
        </w:rPr>
        <w:t xml:space="preserve">BHCA </w:t>
      </w:r>
      <w:r>
        <w:rPr>
          <w:rFonts w:ascii="Times New Roman" w:cs="Times New Roman" w:eastAsia="Times New Roman" w:hAnsi="Times New Roman"/>
          <w:sz w:val="12"/>
          <w:szCs w:val="12"/>
          <w:color w:val="auto"/>
        </w:rPr>
        <w:t>– Bank Holding Company Act of 1956, as amended</w:t>
      </w:r>
      <w:r>
        <w:rPr>
          <w:rFonts w:ascii="Times New Roman" w:cs="Times New Roman" w:eastAsia="Times New Roman" w:hAnsi="Times New Roman"/>
          <w:sz w:val="12"/>
          <w:szCs w:val="12"/>
          <w:b w:val="1"/>
          <w:bCs w:val="1"/>
          <w:color w:val="auto"/>
        </w:rPr>
        <w:t xml:space="preserve"> Board </w:t>
      </w:r>
      <w:r>
        <w:rPr>
          <w:rFonts w:ascii="Times New Roman" w:cs="Times New Roman" w:eastAsia="Times New Roman" w:hAnsi="Times New Roman"/>
          <w:sz w:val="12"/>
          <w:szCs w:val="12"/>
          <w:color w:val="auto"/>
        </w:rPr>
        <w:t>– Glacier Bancorp, Inc.’s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bp or bps </w:t>
      </w:r>
      <w:r>
        <w:rPr>
          <w:rFonts w:ascii="Times New Roman" w:cs="Times New Roman" w:eastAsia="Times New Roman" w:hAnsi="Times New Roman"/>
          <w:sz w:val="13"/>
          <w:szCs w:val="13"/>
          <w:color w:val="auto"/>
        </w:rPr>
        <w:t>– basis point(s)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BSA </w:t>
      </w:r>
      <w:r>
        <w:rPr>
          <w:rFonts w:ascii="Times New Roman" w:cs="Times New Roman" w:eastAsia="Times New Roman" w:hAnsi="Times New Roman"/>
          <w:sz w:val="13"/>
          <w:szCs w:val="13"/>
          <w:color w:val="auto"/>
        </w:rPr>
        <w:t>– Bank Secrecy 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CDE </w:t>
      </w:r>
      <w:r>
        <w:rPr>
          <w:rFonts w:ascii="Times New Roman" w:cs="Times New Roman" w:eastAsia="Times New Roman" w:hAnsi="Times New Roman"/>
          <w:sz w:val="13"/>
          <w:szCs w:val="13"/>
          <w:color w:val="auto"/>
        </w:rPr>
        <w:t>– Certified Development Entity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CDFI Fund </w:t>
      </w:r>
      <w:r>
        <w:rPr>
          <w:rFonts w:ascii="Times New Roman" w:cs="Times New Roman" w:eastAsia="Times New Roman" w:hAnsi="Times New Roman"/>
          <w:sz w:val="12"/>
          <w:szCs w:val="12"/>
          <w:color w:val="auto"/>
        </w:rPr>
        <w:t>– Community Development Financial Institutions Fund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CEO </w:t>
      </w:r>
      <w:r>
        <w:rPr>
          <w:rFonts w:ascii="Times New Roman" w:cs="Times New Roman" w:eastAsia="Times New Roman" w:hAnsi="Times New Roman"/>
          <w:sz w:val="13"/>
          <w:szCs w:val="13"/>
          <w:color w:val="auto"/>
        </w:rPr>
        <w:t>– Chief Executive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CECL </w:t>
      </w:r>
      <w:r>
        <w:rPr>
          <w:rFonts w:ascii="Times New Roman" w:cs="Times New Roman" w:eastAsia="Times New Roman" w:hAnsi="Times New Roman"/>
          <w:sz w:val="13"/>
          <w:szCs w:val="13"/>
          <w:color w:val="auto"/>
        </w:rPr>
        <w:t>– current expected credit losses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CFO </w:t>
      </w:r>
      <w:r>
        <w:rPr>
          <w:rFonts w:ascii="Times New Roman" w:cs="Times New Roman" w:eastAsia="Times New Roman" w:hAnsi="Times New Roman"/>
          <w:sz w:val="13"/>
          <w:szCs w:val="13"/>
          <w:color w:val="auto"/>
        </w:rPr>
        <w:t>– Chief Financial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CFPB </w:t>
      </w:r>
      <w:r>
        <w:rPr>
          <w:rFonts w:ascii="Times New Roman" w:cs="Times New Roman" w:eastAsia="Times New Roman" w:hAnsi="Times New Roman"/>
          <w:sz w:val="13"/>
          <w:szCs w:val="13"/>
          <w:color w:val="auto"/>
        </w:rPr>
        <w:t>– Consumer Financial Protection Bureau</w:t>
      </w:r>
    </w:p>
    <w:p>
      <w:pPr>
        <w:spacing w:after="0" w:line="18" w:lineRule="exact"/>
        <w:rPr>
          <w:sz w:val="20"/>
          <w:szCs w:val="20"/>
          <w:color w:val="auto"/>
        </w:rPr>
      </w:pPr>
    </w:p>
    <w:p>
      <w:pPr>
        <w:ind w:right="12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CIO </w:t>
      </w:r>
      <w:r>
        <w:rPr>
          <w:rFonts w:ascii="Times New Roman" w:cs="Times New Roman" w:eastAsia="Times New Roman" w:hAnsi="Times New Roman"/>
          <w:sz w:val="14"/>
          <w:szCs w:val="14"/>
          <w:color w:val="auto"/>
        </w:rPr>
        <w:t>- Chief Information Officer</w:t>
      </w:r>
      <w:r>
        <w:rPr>
          <w:rFonts w:ascii="Times New Roman" w:cs="Times New Roman" w:eastAsia="Times New Roman" w:hAnsi="Times New Roman"/>
          <w:sz w:val="14"/>
          <w:szCs w:val="14"/>
          <w:b w:val="1"/>
          <w:bCs w:val="1"/>
          <w:color w:val="auto"/>
        </w:rPr>
        <w:t xml:space="preserve"> CISO </w:t>
      </w:r>
      <w:r>
        <w:rPr>
          <w:rFonts w:ascii="Times New Roman" w:cs="Times New Roman" w:eastAsia="Times New Roman" w:hAnsi="Times New Roman"/>
          <w:sz w:val="14"/>
          <w:szCs w:val="14"/>
          <w:color w:val="auto"/>
        </w:rPr>
        <w:t>- Chief Information Security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3"/>
          <w:szCs w:val="13"/>
          <w:color w:val="auto"/>
        </w:rPr>
        <w:t>– Glacier Bancorp, Inc.</w:t>
      </w:r>
    </w:p>
    <w:p>
      <w:pPr>
        <w:spacing w:after="0" w:line="19" w:lineRule="exact"/>
        <w:rPr>
          <w:sz w:val="20"/>
          <w:szCs w:val="20"/>
          <w:color w:val="auto"/>
        </w:rPr>
      </w:pPr>
    </w:p>
    <w:p>
      <w:pPr>
        <w:ind w:left="160" w:right="800" w:hanging="158"/>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COSO </w:t>
      </w:r>
      <w:r>
        <w:rPr>
          <w:rFonts w:ascii="Times New Roman" w:cs="Times New Roman" w:eastAsia="Times New Roman" w:hAnsi="Times New Roman"/>
          <w:sz w:val="13"/>
          <w:szCs w:val="13"/>
          <w:color w:val="auto"/>
        </w:rPr>
        <w:t>– Committee of Sponsoring Organizations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Treadway Commission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CRA </w:t>
      </w:r>
      <w:r>
        <w:rPr>
          <w:rFonts w:ascii="Times New Roman" w:cs="Times New Roman" w:eastAsia="Times New Roman" w:hAnsi="Times New Roman"/>
          <w:sz w:val="13"/>
          <w:szCs w:val="13"/>
          <w:color w:val="auto"/>
        </w:rPr>
        <w:t>– Community Reinvestment Act of 1977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CRO </w:t>
      </w:r>
      <w:r>
        <w:rPr>
          <w:rFonts w:ascii="Times New Roman" w:cs="Times New Roman" w:eastAsia="Times New Roman" w:hAnsi="Times New Roman"/>
          <w:sz w:val="14"/>
          <w:szCs w:val="14"/>
          <w:color w:val="auto"/>
        </w:rPr>
        <w:t>- Chief Risk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DDA </w:t>
      </w:r>
      <w:r>
        <w:rPr>
          <w:rFonts w:ascii="Times New Roman" w:cs="Times New Roman" w:eastAsia="Times New Roman" w:hAnsi="Times New Roman"/>
          <w:sz w:val="13"/>
          <w:szCs w:val="13"/>
          <w:color w:val="auto"/>
        </w:rPr>
        <w:t>– demand deposit account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DIF </w:t>
      </w:r>
      <w:r>
        <w:rPr>
          <w:rFonts w:ascii="Times New Roman" w:cs="Times New Roman" w:eastAsia="Times New Roman" w:hAnsi="Times New Roman"/>
          <w:sz w:val="13"/>
          <w:szCs w:val="13"/>
          <w:color w:val="auto"/>
        </w:rPr>
        <w:t>– federal Deposit Insurance Fund</w:t>
      </w:r>
    </w:p>
    <w:p>
      <w:pPr>
        <w:spacing w:after="0" w:line="31" w:lineRule="exact"/>
        <w:rPr>
          <w:sz w:val="20"/>
          <w:szCs w:val="20"/>
          <w:color w:val="auto"/>
        </w:rPr>
      </w:pPr>
    </w:p>
    <w:p>
      <w:pPr>
        <w:ind w:left="160" w:right="800" w:hanging="158"/>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Dodd-Frank Act </w:t>
      </w:r>
      <w:r>
        <w:rPr>
          <w:rFonts w:ascii="Times New Roman" w:cs="Times New Roman" w:eastAsia="Times New Roman" w:hAnsi="Times New Roman"/>
          <w:sz w:val="13"/>
          <w:szCs w:val="13"/>
          <w:color w:val="auto"/>
        </w:rPr>
        <w:t>– Dodd-Frank Wall Street Reform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Consumer Protection Act of 2010</w:t>
      </w:r>
    </w:p>
    <w:p>
      <w:pPr>
        <w:spacing w:after="0" w:line="1" w:lineRule="exact"/>
        <w:rPr>
          <w:sz w:val="20"/>
          <w:szCs w:val="20"/>
          <w:color w:val="auto"/>
        </w:rPr>
      </w:pPr>
    </w:p>
    <w:p>
      <w:pPr>
        <w:ind w:left="160" w:right="160" w:hanging="158"/>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EGRRC Act </w:t>
      </w:r>
      <w:r>
        <w:rPr>
          <w:rFonts w:ascii="Times New Roman" w:cs="Times New Roman" w:eastAsia="Times New Roman" w:hAnsi="Times New Roman"/>
          <w:sz w:val="13"/>
          <w:szCs w:val="13"/>
          <w:color w:val="auto"/>
        </w:rPr>
        <w:t>– Economic Growth, Regulatory Relief, and Consumer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Protection Act</w:t>
      </w:r>
    </w:p>
    <w:p>
      <w:pPr>
        <w:spacing w:after="0" w:line="1" w:lineRule="exact"/>
        <w:rPr>
          <w:sz w:val="20"/>
          <w:szCs w:val="20"/>
          <w:color w:val="auto"/>
        </w:rPr>
      </w:pPr>
    </w:p>
    <w:p>
      <w:pPr>
        <w:ind w:right="900"/>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ESG </w:t>
      </w:r>
      <w:r>
        <w:rPr>
          <w:rFonts w:ascii="Times New Roman" w:cs="Times New Roman" w:eastAsia="Times New Roman" w:hAnsi="Times New Roman"/>
          <w:sz w:val="13"/>
          <w:szCs w:val="13"/>
          <w:color w:val="auto"/>
        </w:rPr>
        <w:t>– Environmental, social and governance matters</w:t>
      </w:r>
      <w:r>
        <w:rPr>
          <w:rFonts w:ascii="Times New Roman" w:cs="Times New Roman" w:eastAsia="Times New Roman" w:hAnsi="Times New Roman"/>
          <w:sz w:val="13"/>
          <w:szCs w:val="13"/>
          <w:b w:val="1"/>
          <w:bCs w:val="1"/>
          <w:color w:val="auto"/>
        </w:rPr>
        <w:t xml:space="preserve"> Fannie Mae </w:t>
      </w:r>
      <w:r>
        <w:rPr>
          <w:rFonts w:ascii="Times New Roman" w:cs="Times New Roman" w:eastAsia="Times New Roman" w:hAnsi="Times New Roman"/>
          <w:sz w:val="13"/>
          <w:szCs w:val="13"/>
          <w:color w:val="auto"/>
        </w:rPr>
        <w:t>– Federal National Mortgage Association</w:t>
      </w:r>
      <w:r>
        <w:rPr>
          <w:rFonts w:ascii="Times New Roman" w:cs="Times New Roman" w:eastAsia="Times New Roman" w:hAnsi="Times New Roman"/>
          <w:sz w:val="13"/>
          <w:szCs w:val="13"/>
          <w:b w:val="1"/>
          <w:bCs w:val="1"/>
          <w:color w:val="auto"/>
        </w:rPr>
        <w:t xml:space="preserve"> FASB </w:t>
      </w:r>
      <w:r>
        <w:rPr>
          <w:rFonts w:ascii="Times New Roman" w:cs="Times New Roman" w:eastAsia="Times New Roman" w:hAnsi="Times New Roman"/>
          <w:sz w:val="13"/>
          <w:szCs w:val="13"/>
          <w:color w:val="auto"/>
        </w:rPr>
        <w:t>– Financial Accounting Standards Board</w:t>
      </w:r>
      <w:r>
        <w:rPr>
          <w:rFonts w:ascii="Times New Roman" w:cs="Times New Roman" w:eastAsia="Times New Roman" w:hAnsi="Times New Roman"/>
          <w:sz w:val="13"/>
          <w:szCs w:val="13"/>
          <w:b w:val="1"/>
          <w:bCs w:val="1"/>
          <w:color w:val="auto"/>
        </w:rPr>
        <w:t xml:space="preserve"> FDIC </w:t>
      </w:r>
      <w:r>
        <w:rPr>
          <w:rFonts w:ascii="Times New Roman" w:cs="Times New Roman" w:eastAsia="Times New Roman" w:hAnsi="Times New Roman"/>
          <w:sz w:val="13"/>
          <w:szCs w:val="13"/>
          <w:color w:val="auto"/>
        </w:rPr>
        <w:t>– Federal Deposit Insurance Corporation</w:t>
      </w:r>
      <w:r>
        <w:rPr>
          <w:rFonts w:ascii="Times New Roman" w:cs="Times New Roman" w:eastAsia="Times New Roman" w:hAnsi="Times New Roman"/>
          <w:sz w:val="13"/>
          <w:szCs w:val="13"/>
          <w:b w:val="1"/>
          <w:bCs w:val="1"/>
          <w:color w:val="auto"/>
        </w:rPr>
        <w:t xml:space="preserve"> FHLB </w:t>
      </w:r>
      <w:r>
        <w:rPr>
          <w:rFonts w:ascii="Times New Roman" w:cs="Times New Roman" w:eastAsia="Times New Roman" w:hAnsi="Times New Roman"/>
          <w:sz w:val="13"/>
          <w:szCs w:val="13"/>
          <w:color w:val="auto"/>
        </w:rPr>
        <w:t>– Federal Home Loan Bank</w:t>
      </w:r>
    </w:p>
    <w:p>
      <w:pPr>
        <w:spacing w:after="0" w:line="2" w:lineRule="exact"/>
        <w:rPr>
          <w:sz w:val="20"/>
          <w:szCs w:val="20"/>
          <w:color w:val="auto"/>
        </w:rPr>
      </w:pPr>
    </w:p>
    <w:p>
      <w:pPr>
        <w:ind w:left="160" w:right="560" w:hanging="158"/>
        <w:spacing w:after="0" w:line="293" w:lineRule="auto"/>
        <w:rPr>
          <w:sz w:val="20"/>
          <w:szCs w:val="20"/>
          <w:color w:val="auto"/>
        </w:rPr>
      </w:pPr>
      <w:r>
        <w:rPr>
          <w:rFonts w:ascii="Times New Roman" w:cs="Times New Roman" w:eastAsia="Times New Roman" w:hAnsi="Times New Roman"/>
          <w:sz w:val="12"/>
          <w:szCs w:val="12"/>
          <w:b w:val="1"/>
          <w:bCs w:val="1"/>
          <w:color w:val="auto"/>
        </w:rPr>
        <w:t xml:space="preserve">Final Rules </w:t>
      </w:r>
      <w:r>
        <w:rPr>
          <w:rFonts w:ascii="Times New Roman" w:cs="Times New Roman" w:eastAsia="Times New Roman" w:hAnsi="Times New Roman"/>
          <w:sz w:val="12"/>
          <w:szCs w:val="12"/>
          <w:color w:val="auto"/>
        </w:rPr>
        <w:t>– final rules implemented by the federal banking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agencies that amended regulatory risk-based capital rules</w:t>
      </w:r>
    </w:p>
    <w:p>
      <w:pPr>
        <w:spacing w:after="0"/>
        <w:rPr>
          <w:sz w:val="20"/>
          <w:szCs w:val="20"/>
          <w:color w:val="auto"/>
        </w:rPr>
      </w:pPr>
      <w:r>
        <w:rPr>
          <w:rFonts w:ascii="Times New Roman" w:cs="Times New Roman" w:eastAsia="Times New Roman" w:hAnsi="Times New Roman"/>
          <w:sz w:val="14"/>
          <w:szCs w:val="14"/>
          <w:b w:val="1"/>
          <w:bCs w:val="1"/>
          <w:color w:val="auto"/>
        </w:rPr>
        <w:t xml:space="preserve">FinCEN </w:t>
      </w:r>
      <w:r>
        <w:rPr>
          <w:rFonts w:ascii="Times New Roman" w:cs="Times New Roman" w:eastAsia="Times New Roman" w:hAnsi="Times New Roman"/>
          <w:sz w:val="14"/>
          <w:szCs w:val="14"/>
          <w:color w:val="auto"/>
        </w:rPr>
        <w:t>- Financial Crime Enforecment Network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FRB </w:t>
      </w:r>
      <w:r>
        <w:rPr>
          <w:rFonts w:ascii="Times New Roman" w:cs="Times New Roman" w:eastAsia="Times New Roman" w:hAnsi="Times New Roman"/>
          <w:sz w:val="13"/>
          <w:szCs w:val="13"/>
          <w:color w:val="auto"/>
        </w:rPr>
        <w:t>– Federal Reserve Bank</w:t>
      </w:r>
    </w:p>
    <w:p>
      <w:pPr>
        <w:spacing w:after="0" w:line="19" w:lineRule="exact"/>
        <w:rPr>
          <w:sz w:val="20"/>
          <w:szCs w:val="20"/>
          <w:color w:val="auto"/>
        </w:rPr>
      </w:pPr>
    </w:p>
    <w:p>
      <w:pPr>
        <w:ind w:right="660"/>
        <w:spacing w:after="0" w:line="296" w:lineRule="auto"/>
        <w:rPr>
          <w:sz w:val="20"/>
          <w:szCs w:val="20"/>
          <w:color w:val="auto"/>
        </w:rPr>
      </w:pPr>
      <w:r>
        <w:rPr>
          <w:rFonts w:ascii="Times New Roman" w:cs="Times New Roman" w:eastAsia="Times New Roman" w:hAnsi="Times New Roman"/>
          <w:sz w:val="12"/>
          <w:szCs w:val="12"/>
          <w:b w:val="1"/>
          <w:bCs w:val="1"/>
          <w:color w:val="auto"/>
        </w:rPr>
        <w:t xml:space="preserve">Freddie Mac </w:t>
      </w:r>
      <w:r>
        <w:rPr>
          <w:rFonts w:ascii="Times New Roman" w:cs="Times New Roman" w:eastAsia="Times New Roman" w:hAnsi="Times New Roman"/>
          <w:sz w:val="12"/>
          <w:szCs w:val="12"/>
          <w:color w:val="auto"/>
        </w:rPr>
        <w:t>– Federal Home Loan Mortgage Corporation</w:t>
      </w:r>
      <w:r>
        <w:rPr>
          <w:rFonts w:ascii="Times New Roman" w:cs="Times New Roman" w:eastAsia="Times New Roman" w:hAnsi="Times New Roman"/>
          <w:sz w:val="12"/>
          <w:szCs w:val="12"/>
          <w:b w:val="1"/>
          <w:bCs w:val="1"/>
          <w:color w:val="auto"/>
        </w:rPr>
        <w:t xml:space="preserve"> GAAP </w:t>
      </w:r>
      <w:r>
        <w:rPr>
          <w:rFonts w:ascii="Times New Roman" w:cs="Times New Roman" w:eastAsia="Times New Roman" w:hAnsi="Times New Roman"/>
          <w:sz w:val="12"/>
          <w:szCs w:val="12"/>
          <w:color w:val="auto"/>
        </w:rPr>
        <w:t>– accounting principles generally accepted in the</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United States of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ABBREVIATIONS/ACRONYMS</w:t>
      </w:r>
    </w:p>
    <w:p>
      <w:pPr>
        <w:spacing w:after="0" w:line="40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GDP </w:t>
      </w:r>
      <w:r>
        <w:rPr>
          <w:rFonts w:ascii="Times New Roman" w:cs="Times New Roman" w:eastAsia="Times New Roman" w:hAnsi="Times New Roman"/>
          <w:sz w:val="13"/>
          <w:szCs w:val="13"/>
          <w:color w:val="auto"/>
        </w:rPr>
        <w:t>- Gross domestic product</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Ginnie Mae </w:t>
      </w:r>
      <w:r>
        <w:rPr>
          <w:rFonts w:ascii="Times New Roman" w:cs="Times New Roman" w:eastAsia="Times New Roman" w:hAnsi="Times New Roman"/>
          <w:sz w:val="13"/>
          <w:szCs w:val="13"/>
          <w:color w:val="auto"/>
        </w:rPr>
        <w:t>– Government National Mortgage Association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GLBA </w:t>
      </w:r>
      <w:r>
        <w:rPr>
          <w:rFonts w:ascii="Times New Roman" w:cs="Times New Roman" w:eastAsia="Times New Roman" w:hAnsi="Times New Roman"/>
          <w:sz w:val="13"/>
          <w:szCs w:val="13"/>
          <w:color w:val="auto"/>
        </w:rPr>
        <w:t>– Gramm-Leach-Bliley Financial Services</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Modernization Act of 1999</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 xml:space="preserve">HTLF </w:t>
      </w:r>
      <w:r>
        <w:rPr>
          <w:rFonts w:ascii="Times New Roman" w:cs="Times New Roman" w:eastAsia="Times New Roman" w:hAnsi="Times New Roman"/>
          <w:sz w:val="14"/>
          <w:szCs w:val="14"/>
          <w:color w:val="auto"/>
        </w:rPr>
        <w:t>- HTLF Bank</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HTM </w:t>
      </w:r>
      <w:r>
        <w:rPr>
          <w:rFonts w:ascii="Times New Roman" w:cs="Times New Roman" w:eastAsia="Times New Roman" w:hAnsi="Times New Roman"/>
          <w:sz w:val="13"/>
          <w:szCs w:val="13"/>
          <w:color w:val="auto"/>
        </w:rPr>
        <w:t>- Held-to-maturity</w:t>
      </w:r>
    </w:p>
    <w:p>
      <w:pPr>
        <w:spacing w:after="0" w:line="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Interest rate locks </w:t>
      </w:r>
      <w:r>
        <w:rPr>
          <w:rFonts w:ascii="Times New Roman" w:cs="Times New Roman" w:eastAsia="Times New Roman" w:hAnsi="Times New Roman"/>
          <w:sz w:val="13"/>
          <w:szCs w:val="13"/>
          <w:color w:val="auto"/>
        </w:rPr>
        <w:t>– residential real estate derivatives for commitments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Interstate Act </w:t>
      </w:r>
      <w:r>
        <w:rPr>
          <w:rFonts w:ascii="Times New Roman" w:cs="Times New Roman" w:eastAsia="Times New Roman" w:hAnsi="Times New Roman"/>
          <w:sz w:val="13"/>
          <w:szCs w:val="13"/>
          <w:color w:val="auto"/>
        </w:rPr>
        <w:t>– Riegle-Neal Interstate Banking and Branching</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Efficiency Act of 1994</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IRS </w:t>
      </w:r>
      <w:r>
        <w:rPr>
          <w:rFonts w:ascii="Times New Roman" w:cs="Times New Roman" w:eastAsia="Times New Roman" w:hAnsi="Times New Roman"/>
          <w:sz w:val="13"/>
          <w:szCs w:val="13"/>
          <w:color w:val="auto"/>
        </w:rPr>
        <w:t>– Internal Revenue Service</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KBW Regional Banking Index </w:t>
      </w:r>
      <w:r>
        <w:rPr>
          <w:rFonts w:ascii="Times New Roman" w:cs="Times New Roman" w:eastAsia="Times New Roman" w:hAnsi="Times New Roman"/>
          <w:sz w:val="13"/>
          <w:szCs w:val="13"/>
          <w:color w:val="auto"/>
        </w:rPr>
        <w:t>- KBW NASDAQ Regional</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Banking Index</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LIBOR </w:t>
      </w:r>
      <w:r>
        <w:rPr>
          <w:rFonts w:ascii="Times New Roman" w:cs="Times New Roman" w:eastAsia="Times New Roman" w:hAnsi="Times New Roman"/>
          <w:sz w:val="13"/>
          <w:szCs w:val="13"/>
          <w:color w:val="auto"/>
        </w:rPr>
        <w:t>– London Interbank Offered Rate</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LIHTC </w:t>
      </w:r>
      <w:r>
        <w:rPr>
          <w:rFonts w:ascii="Times New Roman" w:cs="Times New Roman" w:eastAsia="Times New Roman" w:hAnsi="Times New Roman"/>
          <w:sz w:val="13"/>
          <w:szCs w:val="13"/>
          <w:color w:val="auto"/>
        </w:rPr>
        <w:t>– Low-Income Housing Tax Credit</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 xml:space="preserve">MBFD </w:t>
      </w:r>
      <w:r>
        <w:rPr>
          <w:rFonts w:ascii="Times New Roman" w:cs="Times New Roman" w:eastAsia="Times New Roman" w:hAnsi="Times New Roman"/>
          <w:sz w:val="14"/>
          <w:szCs w:val="14"/>
          <w:color w:val="auto"/>
        </w:rPr>
        <w:t>- modifications to borrowers experiencing financial</w:t>
      </w:r>
    </w:p>
    <w:p>
      <w:pPr>
        <w:spacing w:after="0" w:line="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difficulty</w:t>
      </w:r>
    </w:p>
    <w:p>
      <w:pPr>
        <w:spacing w:after="0" w:line="18" w:lineRule="exact"/>
        <w:rPr>
          <w:sz w:val="20"/>
          <w:szCs w:val="20"/>
          <w:color w:val="auto"/>
        </w:rPr>
      </w:pPr>
    </w:p>
    <w:p>
      <w:pPr>
        <w:ind w:left="1200" w:right="1159" w:hanging="158"/>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MT Division of Banking </w:t>
      </w:r>
      <w:r>
        <w:rPr>
          <w:rFonts w:ascii="Times New Roman" w:cs="Times New Roman" w:eastAsia="Times New Roman" w:hAnsi="Times New Roman"/>
          <w:sz w:val="13"/>
          <w:szCs w:val="13"/>
          <w:color w:val="auto"/>
        </w:rPr>
        <w:t>– Montana Department of Administration’s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Division of Banking and Financial Institutions</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NII </w:t>
      </w:r>
      <w:r>
        <w:rPr>
          <w:rFonts w:ascii="Times New Roman" w:cs="Times New Roman" w:eastAsia="Times New Roman" w:hAnsi="Times New Roman"/>
          <w:sz w:val="13"/>
          <w:szCs w:val="13"/>
          <w:color w:val="auto"/>
        </w:rPr>
        <w:t>– net interest income</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NMTC </w:t>
      </w:r>
      <w:r>
        <w:rPr>
          <w:rFonts w:ascii="Times New Roman" w:cs="Times New Roman" w:eastAsia="Times New Roman" w:hAnsi="Times New Roman"/>
          <w:sz w:val="13"/>
          <w:szCs w:val="13"/>
          <w:color w:val="auto"/>
        </w:rPr>
        <w:t>– New Markets Tax Credits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NOW </w:t>
      </w:r>
      <w:r>
        <w:rPr>
          <w:rFonts w:ascii="Times New Roman" w:cs="Times New Roman" w:eastAsia="Times New Roman" w:hAnsi="Times New Roman"/>
          <w:sz w:val="13"/>
          <w:szCs w:val="13"/>
          <w:color w:val="auto"/>
        </w:rPr>
        <w:t>– negotiable order of withdrawal</w:t>
      </w:r>
    </w:p>
    <w:p>
      <w:pPr>
        <w:spacing w:after="0" w:line="20" w:lineRule="exact"/>
        <w:rPr>
          <w:sz w:val="20"/>
          <w:szCs w:val="20"/>
          <w:color w:val="auto"/>
        </w:rPr>
      </w:pPr>
    </w:p>
    <w:p>
      <w:pPr>
        <w:ind w:left="1040" w:right="1319"/>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NRSRO </w:t>
      </w:r>
      <w:r>
        <w:rPr>
          <w:rFonts w:ascii="Times New Roman" w:cs="Times New Roman" w:eastAsia="Times New Roman" w:hAnsi="Times New Roman"/>
          <w:sz w:val="13"/>
          <w:szCs w:val="13"/>
          <w:color w:val="auto"/>
        </w:rPr>
        <w:t>– Nationally Recognized Statistical Rating Organizations</w:t>
      </w:r>
      <w:r>
        <w:rPr>
          <w:rFonts w:ascii="Times New Roman" w:cs="Times New Roman" w:eastAsia="Times New Roman" w:hAnsi="Times New Roman"/>
          <w:sz w:val="13"/>
          <w:szCs w:val="13"/>
          <w:b w:val="1"/>
          <w:bCs w:val="1"/>
          <w:color w:val="auto"/>
        </w:rPr>
        <w:t xml:space="preserve"> NYSE </w:t>
      </w:r>
      <w:r>
        <w:rPr>
          <w:rFonts w:ascii="Times New Roman" w:cs="Times New Roman" w:eastAsia="Times New Roman" w:hAnsi="Times New Roman"/>
          <w:sz w:val="13"/>
          <w:szCs w:val="13"/>
          <w:color w:val="auto"/>
        </w:rPr>
        <w:t>- The New York Stock Exchange</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OCI </w:t>
      </w:r>
      <w:r>
        <w:rPr>
          <w:rFonts w:ascii="Times New Roman" w:cs="Times New Roman" w:eastAsia="Times New Roman" w:hAnsi="Times New Roman"/>
          <w:sz w:val="13"/>
          <w:szCs w:val="13"/>
          <w:color w:val="auto"/>
        </w:rPr>
        <w:t>– other comprehensive income</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OREO </w:t>
      </w:r>
      <w:r>
        <w:rPr>
          <w:rFonts w:ascii="Times New Roman" w:cs="Times New Roman" w:eastAsia="Times New Roman" w:hAnsi="Times New Roman"/>
          <w:sz w:val="13"/>
          <w:szCs w:val="13"/>
          <w:color w:val="auto"/>
        </w:rPr>
        <w:t>– other real estate owned</w:t>
      </w:r>
    </w:p>
    <w:p>
      <w:pPr>
        <w:spacing w:after="0" w:line="20" w:lineRule="exact"/>
        <w:rPr>
          <w:sz w:val="20"/>
          <w:szCs w:val="20"/>
          <w:color w:val="auto"/>
        </w:rPr>
      </w:pPr>
    </w:p>
    <w:p>
      <w:pPr>
        <w:ind w:left="1200" w:right="819" w:hanging="158"/>
        <w:spacing w:after="0" w:line="295" w:lineRule="auto"/>
        <w:rPr>
          <w:sz w:val="20"/>
          <w:szCs w:val="20"/>
          <w:color w:val="auto"/>
        </w:rPr>
      </w:pPr>
      <w:r>
        <w:rPr>
          <w:rFonts w:ascii="Times New Roman" w:cs="Times New Roman" w:eastAsia="Times New Roman" w:hAnsi="Times New Roman"/>
          <w:sz w:val="12"/>
          <w:szCs w:val="12"/>
          <w:b w:val="1"/>
          <w:bCs w:val="1"/>
          <w:color w:val="auto"/>
        </w:rPr>
        <w:t xml:space="preserve">Patriot Act </w:t>
      </w:r>
      <w:r>
        <w:rPr>
          <w:rFonts w:ascii="Times New Roman" w:cs="Times New Roman" w:eastAsia="Times New Roman" w:hAnsi="Times New Roman"/>
          <w:sz w:val="12"/>
          <w:szCs w:val="12"/>
          <w:color w:val="auto"/>
        </w:rPr>
        <w:t>– Uniting and Strengthening America by Providing Appropriate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Tools Required to Intercept and Obstruct Terrorism Act of 2001</w:t>
      </w: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PCAOB </w:t>
      </w:r>
      <w:r>
        <w:rPr>
          <w:rFonts w:ascii="Times New Roman" w:cs="Times New Roman" w:eastAsia="Times New Roman" w:hAnsi="Times New Roman"/>
          <w:sz w:val="13"/>
          <w:szCs w:val="13"/>
          <w:color w:val="auto"/>
        </w:rPr>
        <w:t>– Public Company Accounting Oversight Board (United States)</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PCD </w:t>
      </w:r>
      <w:r>
        <w:rPr>
          <w:rFonts w:ascii="Times New Roman" w:cs="Times New Roman" w:eastAsia="Times New Roman" w:hAnsi="Times New Roman"/>
          <w:sz w:val="13"/>
          <w:szCs w:val="13"/>
          <w:color w:val="auto"/>
        </w:rPr>
        <w:t>– purchased credit-deteriorated</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Repurchase agreements </w:t>
      </w:r>
      <w:r>
        <w:rPr>
          <w:rFonts w:ascii="Times New Roman" w:cs="Times New Roman" w:eastAsia="Times New Roman" w:hAnsi="Times New Roman"/>
          <w:sz w:val="13"/>
          <w:szCs w:val="13"/>
          <w:color w:val="auto"/>
        </w:rPr>
        <w:t>– securities sold under agreements</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to repurchase</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color w:val="auto"/>
        </w:rPr>
        <w:t>- Rocky Mountain Bank</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ROU </w:t>
      </w:r>
      <w:r>
        <w:rPr>
          <w:rFonts w:ascii="Times New Roman" w:cs="Times New Roman" w:eastAsia="Times New Roman" w:hAnsi="Times New Roman"/>
          <w:sz w:val="13"/>
          <w:szCs w:val="13"/>
          <w:color w:val="auto"/>
        </w:rPr>
        <w:t>– right-of-use</w:t>
      </w:r>
    </w:p>
    <w:p>
      <w:pPr>
        <w:spacing w:after="0" w:line="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S&amp;P </w:t>
      </w:r>
      <w:r>
        <w:rPr>
          <w:rFonts w:ascii="Times New Roman" w:cs="Times New Roman" w:eastAsia="Times New Roman" w:hAnsi="Times New Roman"/>
          <w:sz w:val="13"/>
          <w:szCs w:val="13"/>
          <w:color w:val="auto"/>
        </w:rPr>
        <w:t>– Standard and Poor’s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SBA </w:t>
      </w:r>
      <w:r>
        <w:rPr>
          <w:rFonts w:ascii="Times New Roman" w:cs="Times New Roman" w:eastAsia="Times New Roman" w:hAnsi="Times New Roman"/>
          <w:sz w:val="13"/>
          <w:szCs w:val="13"/>
          <w:color w:val="auto"/>
        </w:rPr>
        <w:t>– United States Small Business Administration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SEC </w:t>
      </w:r>
      <w:r>
        <w:rPr>
          <w:rFonts w:ascii="Times New Roman" w:cs="Times New Roman" w:eastAsia="Times New Roman" w:hAnsi="Times New Roman"/>
          <w:sz w:val="13"/>
          <w:szCs w:val="13"/>
          <w:color w:val="auto"/>
        </w:rPr>
        <w:t>– United States Securities and Exchange Commission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SERP </w:t>
      </w:r>
      <w:r>
        <w:rPr>
          <w:rFonts w:ascii="Times New Roman" w:cs="Times New Roman" w:eastAsia="Times New Roman" w:hAnsi="Times New Roman"/>
          <w:sz w:val="13"/>
          <w:szCs w:val="13"/>
          <w:color w:val="auto"/>
        </w:rPr>
        <w:t>– Supplemental Executive Retirement Plan</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SOFR </w:t>
      </w:r>
      <w:r>
        <w:rPr>
          <w:rFonts w:ascii="Times New Roman" w:cs="Times New Roman" w:eastAsia="Times New Roman" w:hAnsi="Times New Roman"/>
          <w:sz w:val="13"/>
          <w:szCs w:val="13"/>
          <w:color w:val="auto"/>
        </w:rPr>
        <w:t>– Secured Overnight Financing Rate</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SOX Act </w:t>
      </w:r>
      <w:r>
        <w:rPr>
          <w:rFonts w:ascii="Times New Roman" w:cs="Times New Roman" w:eastAsia="Times New Roman" w:hAnsi="Times New Roman"/>
          <w:sz w:val="13"/>
          <w:szCs w:val="13"/>
          <w:color w:val="auto"/>
        </w:rPr>
        <w:t>– Sarbanes-Oxley Act of 2002</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Tax Act </w:t>
      </w:r>
      <w:r>
        <w:rPr>
          <w:rFonts w:ascii="Times New Roman" w:cs="Times New Roman" w:eastAsia="Times New Roman" w:hAnsi="Times New Roman"/>
          <w:sz w:val="13"/>
          <w:szCs w:val="13"/>
          <w:color w:val="auto"/>
        </w:rPr>
        <w:t>– The Tax Cuts and Jobs Act</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TBA </w:t>
      </w:r>
      <w:r>
        <w:rPr>
          <w:rFonts w:ascii="Times New Roman" w:cs="Times New Roman" w:eastAsia="Times New Roman" w:hAnsi="Times New Roman"/>
          <w:sz w:val="13"/>
          <w:szCs w:val="13"/>
          <w:color w:val="auto"/>
        </w:rPr>
        <w:t>– to-be-announced</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 xml:space="preserve">VIE </w:t>
      </w:r>
      <w:r>
        <w:rPr>
          <w:rFonts w:ascii="Times New Roman" w:cs="Times New Roman" w:eastAsia="Times New Roman" w:hAnsi="Times New Roman"/>
          <w:sz w:val="13"/>
          <w:szCs w:val="13"/>
          <w:color w:val="auto"/>
        </w:rPr>
        <w:t>– variable interest entity</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 xml:space="preserve">Wheatland - </w:t>
      </w:r>
      <w:r>
        <w:rPr>
          <w:rFonts w:ascii="Times New Roman" w:cs="Times New Roman" w:eastAsia="Times New Roman" w:hAnsi="Times New Roman"/>
          <w:sz w:val="14"/>
          <w:szCs w:val="14"/>
          <w:color w:val="auto"/>
        </w:rPr>
        <w:t>Community Financial Group, Inc. and its subsidiary,</w:t>
      </w:r>
    </w:p>
    <w:p>
      <w:pPr>
        <w:spacing w:after="0" w:line="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color w:val="auto"/>
        </w:rPr>
        <w:t>Wheatland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680" w:space="720"/>
            <w:col w:w="5739"/>
          </w:cols>
          <w:pgMar w:left="320" w:top="63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Glacier Bancorp, Inc., headquartered in Kalispell, Montana, is a Montana corporation incorporated in 2004 as a successor corporation to the Delaware corporation originally incorporated in 1990. The terms “Company,” “we,” “us” and “our” mean Glacier Bancorp, Inc. and its subsidiaries, when appropriate. The Company is a publicly-traded company and its common stock trades on the New York Stock Exchange (“NYSE”) under the symbol: GBCI. We provide a full range of banking services to individuals and businesses from 227 locations in Montana, Idaho, Utah, Washington, Wyoming, Colorado, Arizona and Nevada through our wholly-owned bank subsidiary, Glacier Bank (“Bank”). We offer a wide range of banking products and services, including: 1) retail banking; 2) business banking; 3) real estate, commercial, agriculture and consumer loans; and 4) mortgage origination and loan servicing. We serve individuals, small to medium-sized businesses, community organizations and public entities. For information regarding our lending, investment and funding activities, see “Item 7. Management’s Discussion and Analysis of Financial Condition and Results of Operations.”</w:t>
      </w: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includes the parent holding company and the Bank. As of December 31, 2024, the Bank consists of seventeen bank divisions and a corporate division. The bank divisions operate under separate names, management teams and advisory directors and include the following:</w:t>
      </w:r>
    </w:p>
    <w:p>
      <w:pPr>
        <w:spacing w:after="0" w:line="3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Glacier Bank (Kalispell, Montana) with operations in Montana;</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Security Bank of Missoula (Missoula, Montana) with operations in Montana;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Valley Bank (Helena, Montana) with operations in Montana;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Security Bank (Bozeman, Montana) with operations in Montana;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Western Security Bank (Billings, Montana) with operations in Montana;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Bank of Montana (Lewistown, Montana) with operations in Montana;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Mountain West Bank (Coeur d’Alene, Idaho) with operations in Idaho and Washington;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Citizens Community Bank (Pocatello, Idaho) with operations in Idaho;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Bank (Powell, Wyoming) with operations in Wyoming;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State Bank (Wheatland, Wyoming) with operations in Wyoming;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Wheatland Bank (Chelan, Washington) with operations in Washington;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Community Bank Utah (Layton, Utah) with operations in Utah;</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Altabank (American Fork, UT) with operations in Utah and Idaho;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of the San Juans (Durango, Colorado) with operations in Colorado;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Collegiate Peaks Bank (Buena Vista, Colorado) with operations in Colorado;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Foothills Bank (Yuma, Arizona) with operations in Arizona;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Heritage Bank of Nevada (Reno, NV) with operations in Nevada.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corporate division includes the Bank’s investment portfolio and wholesale borrowings, and other centralized functions. We consider the Bank to be our sole operating segment.</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Bank has subsidiary interests in variable interest entities (“VIE”) for which the Bank has both the power to direct the VIE’s significant activities and the obligation to absorb losses or right to receive benefits of the VIE that could potentially be significant to the VIE. These subsidiary interests are included in the Company’s consolidated financial statements. The Bank also has subsidiary interests in VIEs for which the Bank does not have a controlling financial interest and is not the primary beneficiary. These subsidiary interests are not included in the Company’s consolidated financial statements.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parent holding company owns non-bank subsidiaries that have issued trust preferred securities which qualify as Tier 2 regulatory capital instruments. The trust subsidiaries are not included in our consolidated financial statements. Our investments in the trust subsidiaries are included in other assets on our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and its subsidiaries were not engaged in any operations in foreign countries.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Recent Acquisitions</w:t>
      </w: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Our strategy is to profitably grow our business through internal growth and selective acquisitions. We continue to look for expansion opportunities primarily in existing and new markets in the Rocky Mountain and Western states. We have completed the following acquisitions during the last five fiscal years:</w:t>
      </w:r>
    </w:p>
    <w:p>
      <w:pPr>
        <w:sectPr>
          <w:pgSz w:w="11900" w:h="16838" w:orient="portrait"/>
          <w:cols w:equalWidth="0" w:num="1">
            <w:col w:w="11280"/>
          </w:cols>
          <w:pgMar w:left="300" w:top="632" w:right="319" w:bottom="1440" w:gutter="0" w:footer="0" w:header="0"/>
        </w:sectPr>
      </w:pP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u w:val="single" w:color="auto"/>
          <w:color w:val="auto"/>
        </w:rPr>
        <w:t>(Dollars in thousands)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Rocky Mountain Bank branches (“RMB”)</w:t>
      </w:r>
    </w:p>
    <w:p>
      <w:pPr>
        <w:spacing w:after="0" w:line="23" w:lineRule="exact"/>
        <w:rPr>
          <w:sz w:val="20"/>
          <w:szCs w:val="20"/>
          <w:color w:val="auto"/>
        </w:rPr>
      </w:pPr>
    </w:p>
    <w:p>
      <w:pPr>
        <w:ind w:left="100" w:right="1300" w:hanging="67"/>
        <w:spacing w:after="0" w:line="237" w:lineRule="auto"/>
        <w:rPr>
          <w:sz w:val="20"/>
          <w:szCs w:val="20"/>
          <w:color w:val="auto"/>
        </w:rPr>
      </w:pPr>
      <w:r>
        <w:rPr>
          <w:rFonts w:ascii="Times New Roman" w:cs="Times New Roman" w:eastAsia="Times New Roman" w:hAnsi="Times New Roman"/>
          <w:sz w:val="14"/>
          <w:szCs w:val="14"/>
          <w:color w:val="auto"/>
        </w:rPr>
        <w:t>Community Financial Group, Inc. and its wholly-owned subsidiary, Wheatland Bank (collectively, “Wheatland”)</w:t>
      </w:r>
    </w:p>
    <w:p>
      <w:pPr>
        <w:spacing w:after="0" w:line="7" w:lineRule="exact"/>
        <w:rPr>
          <w:sz w:val="20"/>
          <w:szCs w:val="20"/>
          <w:color w:val="auto"/>
        </w:rPr>
      </w:pPr>
    </w:p>
    <w:p>
      <w:pPr>
        <w:ind w:left="100" w:right="1960" w:hanging="70"/>
        <w:spacing w:after="0" w:line="239" w:lineRule="auto"/>
        <w:rPr>
          <w:sz w:val="20"/>
          <w:szCs w:val="20"/>
          <w:color w:val="auto"/>
        </w:rPr>
      </w:pPr>
      <w:r>
        <w:rPr>
          <w:rFonts w:ascii="Times New Roman" w:cs="Times New Roman" w:eastAsia="Times New Roman" w:hAnsi="Times New Roman"/>
          <w:sz w:val="14"/>
          <w:szCs w:val="14"/>
          <w:color w:val="auto"/>
        </w:rPr>
        <w:t>Altabancorp and its wholly-owned subsidiary, Altabank (collectively, "Alta")</w:t>
      </w:r>
    </w:p>
    <w:p>
      <w:pPr>
        <w:spacing w:after="0" w:line="8" w:lineRule="exact"/>
        <w:rPr>
          <w:sz w:val="20"/>
          <w:szCs w:val="20"/>
          <w:color w:val="auto"/>
        </w:rPr>
      </w:pPr>
    </w:p>
    <w:p>
      <w:pPr>
        <w:ind w:left="100" w:right="1440" w:hanging="62"/>
        <w:spacing w:after="0" w:line="239" w:lineRule="auto"/>
        <w:rPr>
          <w:sz w:val="20"/>
          <w:szCs w:val="20"/>
          <w:color w:val="auto"/>
        </w:rPr>
      </w:pPr>
      <w:r>
        <w:rPr>
          <w:rFonts w:ascii="Times New Roman" w:cs="Times New Roman" w:eastAsia="Times New Roman" w:hAnsi="Times New Roman"/>
          <w:sz w:val="14"/>
          <w:szCs w:val="14"/>
          <w:color w:val="auto"/>
        </w:rPr>
        <w:t>State Bank Corp. and its wholly-owned subsidiary, State Bank of Arizona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color w:val="auto"/>
              </w:rPr>
              <w:t>Total</w:t>
            </w:r>
          </w:p>
        </w:tc>
        <w:tc>
          <w:tcPr>
            <w:tcW w:w="1240" w:type="dxa"/>
            <w:vAlign w:val="bottom"/>
            <w:gridSpan w:val="2"/>
          </w:tcPr>
          <w:p>
            <w:pPr>
              <w:ind w:left="400"/>
              <w:spacing w:after="0" w:line="143" w:lineRule="exact"/>
              <w:rPr>
                <w:sz w:val="20"/>
                <w:szCs w:val="20"/>
                <w:color w:val="auto"/>
              </w:rPr>
            </w:pPr>
            <w:r>
              <w:rPr>
                <w:rFonts w:ascii="Times New Roman" w:cs="Times New Roman" w:eastAsia="Times New Roman" w:hAnsi="Times New Roman"/>
                <w:sz w:val="14"/>
                <w:szCs w:val="14"/>
                <w:color w:val="auto"/>
              </w:rPr>
              <w:t>Gross</w:t>
            </w:r>
          </w:p>
        </w:tc>
        <w:tc>
          <w:tcPr>
            <w:tcW w:w="1160" w:type="dxa"/>
            <w:vAlign w:val="bottom"/>
          </w:tcPr>
          <w:p>
            <w:pPr>
              <w:jc w:val="right"/>
              <w:ind w:right="369"/>
              <w:spacing w:after="0" w:line="143" w:lineRule="exact"/>
              <w:rPr>
                <w:sz w:val="20"/>
                <w:szCs w:val="20"/>
                <w:color w:val="auto"/>
              </w:rPr>
            </w:pPr>
            <w:r>
              <w:rPr>
                <w:rFonts w:ascii="Times New Roman" w:cs="Times New Roman" w:eastAsia="Times New Roman" w:hAnsi="Times New Roman"/>
                <w:sz w:val="14"/>
                <w:szCs w:val="14"/>
                <w:color w:val="auto"/>
              </w:rPr>
              <w:t>Total</w:t>
            </w:r>
          </w:p>
        </w:tc>
      </w:tr>
      <w:tr>
        <w:trPr>
          <w:trHeight w:val="191"/>
        </w:trPr>
        <w:tc>
          <w:tcPr>
            <w:tcW w:w="17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Date</w:t>
            </w: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Assets</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Loans</w:t>
            </w:r>
          </w:p>
        </w:tc>
        <w:tc>
          <w:tcPr>
            <w:tcW w:w="11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Deposits</w:t>
            </w:r>
          </w:p>
        </w:tc>
      </w:tr>
      <w:tr>
        <w:trPr>
          <w:trHeight w:val="175"/>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July 19, 2024</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403,052</w:t>
            </w:r>
          </w:p>
        </w:tc>
        <w:tc>
          <w:tcPr>
            <w:tcW w:w="100" w:type="dxa"/>
            <w:vAlign w:val="bottom"/>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271,569</w:t>
            </w:r>
          </w:p>
        </w:tc>
        <w:tc>
          <w:tcPr>
            <w:tcW w:w="8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396,690</w:t>
            </w:r>
          </w:p>
        </w:tc>
      </w:tr>
      <w:tr>
        <w:trPr>
          <w:trHeight w:val="325"/>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31, 2024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777,705</w:t>
            </w:r>
          </w:p>
        </w:tc>
        <w:tc>
          <w:tcPr>
            <w:tcW w:w="100" w:type="dxa"/>
            <w:vAlign w:val="bottom"/>
          </w:tcPr>
          <w:p>
            <w:pPr>
              <w:spacing w:after="0"/>
              <w:rPr>
                <w:sz w:val="24"/>
                <w:szCs w:val="24"/>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452,740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616,955</w:t>
            </w:r>
          </w:p>
        </w:tc>
      </w:tr>
      <w:tr>
        <w:trPr>
          <w:trHeight w:val="329"/>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1, 2021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4,131,662</w:t>
            </w:r>
          </w:p>
        </w:tc>
        <w:tc>
          <w:tcPr>
            <w:tcW w:w="100" w:type="dxa"/>
            <w:vAlign w:val="bottom"/>
          </w:tcPr>
          <w:p>
            <w:pPr>
              <w:spacing w:after="0"/>
              <w:rPr>
                <w:sz w:val="24"/>
                <w:szCs w:val="24"/>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1,902,321</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3,273,819</w:t>
            </w:r>
          </w:p>
        </w:tc>
      </w:tr>
      <w:tr>
        <w:trPr>
          <w:trHeight w:val="329"/>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29, 2020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745,420</w:t>
            </w:r>
          </w:p>
        </w:tc>
        <w:tc>
          <w:tcPr>
            <w:tcW w:w="100" w:type="dxa"/>
            <w:vAlign w:val="bottom"/>
          </w:tcPr>
          <w:p>
            <w:pPr>
              <w:spacing w:after="0"/>
              <w:rPr>
                <w:sz w:val="24"/>
                <w:szCs w:val="24"/>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451,702</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-746760</wp:posOffset>
            </wp:positionV>
            <wp:extent cx="7141210"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2128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-416560</wp:posOffset>
            </wp:positionV>
            <wp:extent cx="7141210" cy="208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208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400"/>
          </w:cols>
          <w:pgMar w:left="300" w:top="632" w:right="31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13, 2025, the Company announced the signing of a definitive agreement to acquire Bank of Idaho Holding Co., the parent company of Bank of Idaho.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recently completed acquisition and subsequent event, see Note 23 to the Consolidated Financial Statements in “Item 8. Financial Statements and Supplementary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Area and Competition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227 locations, which consist of 194 branches and 33 loan or administration offices, in 85 counties within eight states including Montana, Idaho, Utah, Washington, Wyoming, Colorado, Arizona and Nevada. The market area’s diversified economic base primarily focuses on tourism, construction, mining, energy, manufacturing, agriculture, service industries, and health care. The tourism industry is highly influenced by national parks, ski resorts, significant lakes and rural scenic areas.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Commercial banking is a highly competitive business and operates in a rapidly changing environment. There are a large number of depository institutions including commercial banks, savings and loans, and credit unions in the markets in which we have locations. Competition is also increasing for deposit and lending services from internet-based competitors. Non-depository financial service institutions, primarily in the securities, insurance and retail industries, have also become competitors for retail savings, investment funds and lending activities. In addition to offering competitive interest rates, the principal methods used by the Bank to attract deposits include the offering of a variety of services including online banking, mobile banking and convenient office locations and business hours. The primary factors in competing for loans are interest rates and rate adjustment provisions, loan maturities, loan fees, relationships with customers and the quality of service.</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following table summarizes our number of locations, the number of counties we serve and the percentage of Federal Deposit Insurance Corporation (“FDIC”) insured deposits we have in those counties for each of the eight states we operate in. Percent of deposits are based on the FDIC summary of deposits survey as of June 30, 2024 and does not include any bank division acquired after such date.</w:t>
      </w:r>
    </w:p>
    <w:tbl>
      <w:tblPr>
        <w:tblLayout w:type="fixed"/>
        <w:tblInd w:w="20" w:type="dxa"/>
        <w:tblCellMar>
          <w:top w:w="0" w:type="dxa"/>
          <w:left w:w="0" w:type="dxa"/>
          <w:bottom w:w="0" w:type="dxa"/>
          <w:right w:w="0" w:type="dxa"/>
        </w:tblCellMar>
      </w:tblPr>
      <w:tr>
        <w:trPr>
          <w:trHeight w:val="144"/>
        </w:trPr>
        <w:tc>
          <w:tcPr>
            <w:tcW w:w="6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ind w:right="129"/>
              <w:spacing w:after="0" w:line="144" w:lineRule="exact"/>
              <w:rPr>
                <w:sz w:val="20"/>
                <w:szCs w:val="20"/>
                <w:color w:val="auto"/>
              </w:rPr>
            </w:pPr>
            <w:r>
              <w:rPr>
                <w:rFonts w:ascii="Times New Roman" w:cs="Times New Roman" w:eastAsia="Times New Roman" w:hAnsi="Times New Roman"/>
                <w:sz w:val="14"/>
                <w:szCs w:val="14"/>
                <w:color w:val="auto"/>
              </w:rPr>
              <w:t>Number of Counties</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1"/>
        </w:trPr>
        <w:tc>
          <w:tcPr>
            <w:tcW w:w="630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Number of Locations</w:t>
            </w:r>
          </w:p>
        </w:tc>
        <w:tc>
          <w:tcPr>
            <w:tcW w:w="15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Served</w:t>
            </w:r>
          </w:p>
        </w:tc>
        <w:tc>
          <w:tcPr>
            <w:tcW w:w="80" w:type="dxa"/>
            <w:vAlign w:val="bottom"/>
          </w:tcPr>
          <w:p>
            <w:pPr>
              <w:spacing w:after="0"/>
              <w:rPr>
                <w:sz w:val="16"/>
                <w:szCs w:val="16"/>
                <w:color w:val="auto"/>
              </w:rPr>
            </w:pPr>
          </w:p>
        </w:tc>
        <w:tc>
          <w:tcPr>
            <w:tcW w:w="16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Percent of Deposits</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Montana</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Idaho</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Utah</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Washington</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Wyoming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Colorado</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Arizona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80"/>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Nevada</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196"/>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As of December 31, 2024, we employed 3,595 persons, 3,313 of whom were employed full time. No employees were represented by a collective bargaining group. We believe our employees are united by our commitment to serve our customers and communities and that our customers are best served by a staff of competent, caring employees who are customer oriented. Our employees are one of our most valuable assets. We consider our employee relations to be excellent.</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strive to provide a safe and gratifying workplace for our employees. We promote and support a work environment free from any form of harassment, discrimination, bullying, or retaliation. We are also committed to assisting with reasonable workplace accommodations for individuals with disabilities, for known limitations related to pregnancy, and for religious beliefs or practices that conflict with a job requirement. We also encourage employee growth and development in a variety of ways, including through formal and informal training, continuing education, relationships with colleagues and internal mentors, and by making a variety of resources available.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has established a Training Committee charged with creating company-wide training expectations for employees to encourage adherence to internal policies and procedures and compliance with the variety of laws and regulations applicable to our operations. We also strive to offer multidisciplinary educational opportunities for employees to improve their knowledge and skills for their current positions, as well as to create opportunities to advance within the organization. Other targeted development opportunities are available for group leaders and promising employees, such as tuition support for employees seeking additional degrees or certifications through our Tuition Reimbursement program.</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employee’s overall health and well-being is a top priority. It is our goal for all employees to work hard and experience a high quality work life, but we also encourage employees to be active participants in our communities, and to enjoy quality time with their families and cultivate their independent interests. We have developed several programs to encourage a safe and healthy workplace, including:</w:t>
      </w:r>
    </w:p>
    <w:p>
      <w:pPr>
        <w:spacing w:after="0" w:line="152"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GBCI Injury and Illness Prevention Program</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Work-life Balance Employee Assistance Program</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WellSteps program offering assessments, goal setting tools, activities, incentives, and rewards</w:t>
      </w:r>
    </w:p>
    <w:p>
      <w:pPr>
        <w:ind w:left="520" w:hanging="260"/>
        <w:spacing w:after="0" w:line="23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Safety &amp; Wellness Ambassadors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Wellness Campaign</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Workstation Ergonomics Assessments</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Through our Injury and Illness Prevention Program, we have established protocols for minimizing work place injuries and incidents. Instilling safety as a standard of practice is facilitated by a Safety Committee at each of our banking divisions and by Safety &amp; Wellness Ambassadors at each location.</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also believe employee retention is critical to our success, and we are proud of our track record when it comes to retaining employees, including many employees at institutions we acquire. Retention strategies are woven into all our compensation and retirement programs, and even our efforts at expansion. We provide our qualifying employees with a comprehensive benefit program, including health, dental and vision insurance, life and accident insurance, short- and long-term disability coverage, and paid time off. In addition we offer a Profit Sharing and 401(k) Plan, short-term cash incentive plan, deferred compensation plans, and a supplemental executive retirement plan for certain employees (“SERP”). For select management-level employees, we also offer our Long-Term Incentive Plans, which is an equity-based compensation plan that is designed to encourage achievement of long-term financial goals as our determined by the Company’s Board of Directors (the “Board”) from time to time, and to further retention through long-term vesting of certain awards earned. See Note 14 in the Consolidated Financial Statements in “Item 8. Financial Statements and Supplementary Data” for detailed information regarding employee benefit plans and eligibility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 and Committees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Board has established, among others, an Audit Committee, a Compensation and Human Capital Committee, a Nominating/Corporate Governance Committee, and a Risk Oversight Committee. Additional information regarding Board committees is set forth under the heading “Meetings and Committees of the Board of Directors - Committees and Committee Membership” in the Company’s 2025 Annual Meeting Proxy Statement (“2025 Proxy Statement”) and is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Website Access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Copies of our Annual Report on Form 10-K, Quarterly Reports on Form 10-Q, Current Reports on Form 8-K and amendments to those reports filed or furnished pursuant to Section 13(a) or 15(d) of the Securities Exchange Act of 1934 are available free of charge through our website (www.glacierbancorp.com) as soon as reasonably practicable after we have filed the material with, or furnished it to, the United States Securities and Exchange Commission (“SEC”). Copies can also be obtained by accessing the SEC’s website (www.sec.gov).</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Supervision and Regulation</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subject to extensive regulation under federal and state laws. This section provides a general overview of the federal and state regulatory framework applicable to us. In general, this regulatory framework is designed to protect depositors, the federal Deposit Insurance Fund (“DIF”), and the federal and state banking systems as a whole, rather than to specifically protect shareholders. Note that this section is not intended to summarize all laws and regulations applicable to us. Descriptions of statutory or regulatory provisions do not purport to be complete and are qualified by reference to those provisions.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statutes and regulations, as well as related regulatory policies, continue to be subject to change by Congress, state legislatures, and federal and state regulators. Changes in statutes, regulations, or regulatory policies applicable to us (including their interpretation or implementation) cannot be predicted and could have a material effect on our business and operations. Numerous changes to the statutes, regulations, and regulatory policies applicable to us have been proposed or made in recent years and the pace of change has been exacerbated by the changing political climate. Continued efforts to monitor and comply with new and changing regulatory requirements add to the complexity and cost of our business and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subject to regulation and supervision by the Federal Reserve and the Montana Department of Administration’s Division of Banking and Financial Institutions (“MT Division of Banking”) and regulation generally by the State of Montana. The Company is also subject to the disclosure and regulatory requirements of the Securities Act of 1933, as amended, and the Securities Exchange Act of 1934, as amended, which are both administered by the SEC. The Bank is subject to regulation and supervision by the FDIC, the MT Division of Banking, and, with respect to Bank branches outside of the State of Montana, the respective regulators in those states. In addition, we are also subject to regulation and direct supervision by the Consumer Financial Protection Bureau (“CFPB”) which has been empowered to exercise broad rulemaking, supervision, and enforcement authority for a wide range of consumer protection laws.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and State Bank Holding Company Regulation</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Company is a bank holding company under the Bank Holding Company Act of 1956, as amended (“BHCA”), due to its ownership of and control over the Bank. As a bank holding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the Company is subject to regulation, supervision, and examination by the Federal Reserve. Further, because the Bank is a “regional banking organization” under Montana law, the Company (as a bank holding company of the Bank) is also subject to regulation, supervision and examination by the MT Division of Banking. In general, the BHCA limits the business of a bank holding company to owning or controlling banks and engaging in, or retaining or acquiring shares in a company engaged in, other activities closely related to the business of banking. In addition, the Company must also file reports with and provide additional information to the Federal Reserve.</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Holding Company Bank Ownership. </w:t>
      </w:r>
      <w:r>
        <w:rPr>
          <w:rFonts w:ascii="Times New Roman" w:cs="Times New Roman" w:eastAsia="Times New Roman" w:hAnsi="Times New Roman"/>
          <w:sz w:val="14"/>
          <w:szCs w:val="14"/>
          <w:color w:val="auto"/>
        </w:rPr>
        <w:t>The BHCA requires every bank holding company to obtain the prior approval of the Federal Reserve before: 1) acquiring, directly or indirectly, ownership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 of any voting shares of another bank or bank holding company if, after such acquisition, it would own or control more than 5 percent of such shares; 2) acquiring all or substantially all of the assets of another bank or bank holding company; or 3) merging or consolidating with another bank holding company.</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Holding Company Control of Non-banks</w:t>
      </w:r>
      <w:r>
        <w:rPr>
          <w:rFonts w:ascii="Times New Roman" w:cs="Times New Roman" w:eastAsia="Times New Roman" w:hAnsi="Times New Roman"/>
          <w:sz w:val="14"/>
          <w:szCs w:val="14"/>
          <w:color w:val="auto"/>
        </w:rPr>
        <w:t>. With some exceptions, the BHCA prohibits a bank holding company from acquiring or retaining direct or indirect ownership or control of more than 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percent of the voting shares of any company that is not a bank or bank holding company, or from engaging directly or indirectly in activities other than those of banking, managing or controlling banks, or providing services for its subsidiaries. The principal exceptions to these prohibitions involve certain non-bank activities that, by federal statute, agency regulation, or order, have been identified as activities closely related to the business of banking or managing or controlling banks.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Transactions with Affiliates</w:t>
      </w:r>
      <w:r>
        <w:rPr>
          <w:rFonts w:ascii="Times New Roman" w:cs="Times New Roman" w:eastAsia="Times New Roman" w:hAnsi="Times New Roman"/>
          <w:sz w:val="14"/>
          <w:szCs w:val="14"/>
          <w:color w:val="auto"/>
        </w:rPr>
        <w:t>. Bank subsidiaries of a bank holding company are subject to restrictions imposed by the Federal Reserve Act on extensions of credit to the holding company or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subsidiaries, on investments in securities, and on the use of securities as collateral for loans to any borrower. The Dodd-Frank Wall Street Reform and Consumer Protection Act of 2010 (“Dodd-Frank Act”) further expanded the definition of an “affiliate” and included credit exposure arising from derivative transactions, securities lending, and borrowing transactions as covered transactions under the regulations. It also 1) expanded the scope of covered transactions required to be collateralized; 2) requires collateral to be maintained at all times for covered transactions required to be collateralized; and 3) placed limits on acceptable collateral. These regulations and restrictions may limit the Company’s ability to obtain funds from the Bank for its cash needs, including funds for payments of dividends, interest, and operational expenses.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Tying Arrangements</w:t>
      </w:r>
      <w:r>
        <w:rPr>
          <w:rFonts w:ascii="Times New Roman" w:cs="Times New Roman" w:eastAsia="Times New Roman" w:hAnsi="Times New Roman"/>
          <w:sz w:val="14"/>
          <w:szCs w:val="14"/>
          <w:color w:val="auto"/>
        </w:rPr>
        <w:t>. We are also prohibited from engaging in certain tie-in arrangements in connection with any extension of credit, sale or lease of property, or furnishing of services. For example,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certain exceptions, we may not condition an extension of credit to a customer on either 1) a requirement that the customer obtain additional services provided by us; or 2) an agreement by the customer to refrain from obtaining other services from a competitor.</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Support of Bank Subsidiaries</w:t>
      </w:r>
      <w:r>
        <w:rPr>
          <w:rFonts w:ascii="Times New Roman" w:cs="Times New Roman" w:eastAsia="Times New Roman" w:hAnsi="Times New Roman"/>
          <w:sz w:val="14"/>
          <w:szCs w:val="14"/>
          <w:color w:val="auto"/>
        </w:rPr>
        <w:t>. Under Federal Reserve policy and the Dodd-Frank Act, the Company is required to act as a source of financial and managerial strength to the Bank. This means that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is required to commit, as necessary, capital and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 w:name="page8"/>
    <w:bookmarkEnd w:id="7"/>
    <w:p>
      <w:pPr>
        <w:jc w:val="both"/>
        <w:spacing w:after="0" w:line="287" w:lineRule="auto"/>
        <w:rPr>
          <w:sz w:val="20"/>
          <w:szCs w:val="20"/>
          <w:color w:val="auto"/>
        </w:rPr>
      </w:pPr>
      <w:r>
        <w:rPr>
          <w:rFonts w:ascii="Times New Roman" w:cs="Times New Roman" w:eastAsia="Times New Roman" w:hAnsi="Times New Roman"/>
          <w:sz w:val="14"/>
          <w:szCs w:val="14"/>
          <w:color w:val="auto"/>
        </w:rPr>
        <w:t>resources to support the Bank, including at times when the Company may not be in a financial position to provide such resources or when it may not be in the Company's or its shareholders' best interests to do so. Any capital loans a bank holding company makes to its bank subsidiaries are subordinate to deposits and to certain other indebtedness of the bank subsidiaries.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State Law Restrictions under Corporate Law. </w:t>
      </w:r>
      <w:r>
        <w:rPr>
          <w:rFonts w:ascii="Times New Roman" w:cs="Times New Roman" w:eastAsia="Times New Roman" w:hAnsi="Times New Roman"/>
          <w:sz w:val="14"/>
          <w:szCs w:val="14"/>
          <w:color w:val="auto"/>
        </w:rPr>
        <w:t>As a Montana corporation, the Company is subject to certain limitations and restrictions under applicable Montana corporate law. For example, Montana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corporate law includes limitations and restrictions relating to indemnification of directors, distributions to shareholders, transactions involving directors, officers, or interested shareholders, maintenance of books, records, and minutes, and observance of certain corporate formalities.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and State Regulation of the Bank</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Deposits in the Bank are insured by the FDIC. The Bank is subject to primary supervision, periodic examination, and regulation by the FDIC and the MT Division of Banking.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agencies have the authority to prohibit the Bank from engaging in what they believe constitutes unsafe or unsound banking practices. The federal laws that apply to the Bank regulate, among other things, the scope of its business, its investments, its reserves against deposits, the timing of the availability of deposited funds, and the nature, amount of, and collateral for loans. Federal laws also regulate community reinvestment and insider credit transactions and impose safety and soundness standards. In addition to federal law and the laws of the State of Montana, with respect to the Bank's branches in Idaho, Utah, Washington, Wyoming, Colorado, Arizona and Nevada, the Bank is also subject to the various laws and regulations governing its activities in those states.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Consumer Protection</w:t>
      </w:r>
      <w:r>
        <w:rPr>
          <w:rFonts w:ascii="Times New Roman" w:cs="Times New Roman" w:eastAsia="Times New Roman" w:hAnsi="Times New Roman"/>
          <w:sz w:val="14"/>
          <w:szCs w:val="14"/>
          <w:color w:val="auto"/>
        </w:rPr>
        <w:t>. The Bank is subject to a variety of federal and state consumer protection laws and regulations that govern its relationships and interactions with consumers, including laws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regulations that impose certain disclosure requirements and that govern the manner in which the Bank takes deposits, makes and collects loans, and provides other services. While in recent years, examination and enforcement by federal and state banking agencies for compliance with consumer protection laws and regulations have increased and become more intense, federal regulators are facing an increasing number of third-party legal challenges to their enforcement actions and rule making. Nevertheless, failure to comply with these laws and regulations may subject the Bank to various penalties, including but not limited to enforcement actions, injunctions, fines, civil monetary penalties, criminal penalties, punitive damages, and the loss of certain contractual rights. The Bank is closely monitoring changes (and challenges) to these laws and regulations and has established a comprehensive compliance system to ensure consumer protection.</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Community Reinvestment</w:t>
      </w:r>
      <w:r>
        <w:rPr>
          <w:rFonts w:ascii="Times New Roman" w:cs="Times New Roman" w:eastAsia="Times New Roman" w:hAnsi="Times New Roman"/>
          <w:sz w:val="14"/>
          <w:szCs w:val="14"/>
          <w:color w:val="auto"/>
        </w:rPr>
        <w:t>. The Community Reinvestment Act of 1977 (“CRA”) requires that, in connection with examinations of financial institutions within their jurisdictions, federal bank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regulators evaluate the record of financial institutions in meeting the credit needs of their local communities, including low and moderate-income neighborhoods, consistent with the safe and sound operation of those institutions. A bank’s community reinvestment record is also considered by the applicable banking agencies in evaluating mergers, acquisitions, and applications to open a branch or facility. In some cases, a bank's failure to comply with the CRA, or CRA protests filed by interested parties during applicable comment periods, can result in the denial or delay of such transactions. In 2023, federal bank regulators issued a final rule to strengthen and modernize the CRA in several ways (e.g., to encourage banks to expand access to banking services, adapt to internet and mobile banking usage, improve clarity and consistency in the application of the CRA regulations, and to tailor CRA evaluations to the size and type of the bank being evaluated). The new requirements were set to become effective starting in January 2026. However, the effectiveness of this rule is currently subject to an injunction and the FDIC has communicated that it continues to assess banks’ CRA performance under the 1995 regulatory framework. If and when the final rule becomes effective, changes in the evaluation process and reporting requirements under the CRA could impact the Bank’s costs of compliance and rating during its next evaluation. The Bank received a “satisfactory” rating in its most recent CRA examination.</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Insider Credit Transactions</w:t>
      </w:r>
      <w:r>
        <w:rPr>
          <w:rFonts w:ascii="Times New Roman" w:cs="Times New Roman" w:eastAsia="Times New Roman" w:hAnsi="Times New Roman"/>
          <w:sz w:val="14"/>
          <w:szCs w:val="14"/>
          <w:color w:val="auto"/>
        </w:rPr>
        <w:t>. Banks are subject to certain restrictions on extensions of credit to executive officers, directors, principal shareholders, and their related interests. These extensions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1) must be made on substantially the same terms (including interest rates and collateral); 2) follow credit underwriting procedures that are at least as stringent as those prevailing at the time the credit is underwritten for comparable transactions with persons not related to the lending bank; and 3) must not involve more than the normal risk of nonpayment or present other unfavorable features. Banks are also subject to certain lending limits and restrictions on overdrafts to insiders. A violation of these restrictions may result in the assessment of substantial civil monetary penalties, regulatory enforcement actions, and other regulatory sanctions. The Dodd-Frank Act and federal regulations place additional restrictions on loans to insiders and generally prohibit loans to senior officers other than for certain specified purposes.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Regulation of Management</w:t>
      </w:r>
      <w:r>
        <w:rPr>
          <w:rFonts w:ascii="Times New Roman" w:cs="Times New Roman" w:eastAsia="Times New Roman" w:hAnsi="Times New Roman"/>
          <w:sz w:val="14"/>
          <w:szCs w:val="14"/>
          <w:color w:val="auto"/>
        </w:rPr>
        <w:t>. Federal law 1) sets forth circumstances under which officers or directors of a bank may be removed by the bank's federal supervisory agency; 2) as discussed above,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places restraints on lending by a bank to its executive officers, directors, principal shareholders, and their related interests; and 3) generally prohibits management personnel of a bank from serving as directors or in other management positions of another financial institution whose assets exceed a specified amount or has an office within a specified geographic area.</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Safety and Soundness Standards</w:t>
      </w:r>
      <w:r>
        <w:rPr>
          <w:rFonts w:ascii="Times New Roman" w:cs="Times New Roman" w:eastAsia="Times New Roman" w:hAnsi="Times New Roman"/>
          <w:sz w:val="14"/>
          <w:szCs w:val="14"/>
          <w:color w:val="auto"/>
        </w:rPr>
        <w:t>. Certain non-capital safety and soundness standards are also imposed upon banks. These standards cover, among other things, internal controls, information systems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internal audit systems, loan documentation, credit underwriting,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4"/>
          <w:szCs w:val="14"/>
          <w:color w:val="auto"/>
        </w:rPr>
        <w:t>interest rate exposure, asset growth, compensation, fees and benefits, other operational and managerial standards as the agency determines to be appropriate, and standards for asset quality, earnings, and stock valuation. In addition, each insured depository institution must implement a comprehensive written information security program that includes administrative, technical, and physical safeguards appropriate to the institution’s size and complexity and the nature and scope of its activities. The information security program must be designed to ensure the security and confidentiality of customer information, protect against any unanticipated threats or hazards to the security or integrity of such information, protect against unauthorized access to or use of such information that could result in substantial harm or inconvenience to any customer, and ensure the proper disposal of consumer information. An institution that fails to meet these standards may be required to submit a compliance plan, or be subject to regulatory sanctions, including restrictions on growth. The Bank has established comprehensive policies and risk management procedures to ensure the safety and soundness of the Bank.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Interstate Banking and Branching</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Dodd-Frank Act eliminated interstate branching restrictions that were implemented as part of the Riegle-Neal Interstate Banking and Branching Efficiency Act of 1994 ("Interstate Act"), and removed many restrictions on de novo interstate branching by state and federally chartered banks. Federal regulators have authority to approve applications by such banks to establish de novo branches in states other than the bank's home state if the host state's banks could establish a branch at the same location. The Interstate Act requires regulators to consult with community organizations before permitting an interstate institution to close a branch in a low-income area. Federal bank regulations also prohibit banks from using their interstate branches primarily for deposit production and federal bank regulatory agencies have implemented a loan-to-deposit ratio screen to ensure compliance with this prohibition.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Dividends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principal source of the Company’s cash is from dividends received from the Bank, which are subject to regulation and limitation. As a general rule, regulatory authorities may prohibit banks and bank holding companies from paying dividends in a manner that would constitute an unsafe or unsound banking practice. For example, regulators have stated that paying dividends that deplete an institution's capital base to an inadequate level would be an unsafe and unsound banking practice and that an institution should generally pay dividends only out of current operating earnings. In addition, a bank may not pay cash dividends if that payment could reduce the amount of its capital below that necessary to meet minimum applicable regulatory capital requirements. Current guidance from the Federal Reserve provides, among other things, that dividends per share on the Company’s common stock generally should not exceed earnings per share, measured over the previous four fiscal quarters. In certain circumstances, Montana law also places limits or restrictions on a bank’s ability to declare and pay dividends.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Rules adopted in accordance with the third installment of the Basel Accords (“Basel III”) also impose limitations on the Bank's ability to pay dividends. In general, these rules limit the Bank's ability to pay dividends unless the Bank's common equity conservation buffer exceeds the minimum required capital ratio by at least 2.5 percent of risk-weighted assets. Basel III is scheduled to take effect on July 1, 2025 and will include a 3-year “phase in” period (with full compliance required on or before July 1, 2028).</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Federal Reserve has also issued a policy statement on the payment of cash dividends by bank holding companies. In general, the policy statement expresses the view that although no specific regulations restrict dividend payments by bank holding companies other than state corporate laws, a bank holding company should not pay cash dividends unless the bank holding company’s earnings for the past year are sufficient to cover both the cash dividends and a prospective rate of earnings retention that is consistent with the bank holding company’s capital needs, asset quality, and overall financial condition. A bank holding company's ability to pay dividends may also be restricted if a subsidiary bank becomes undercapitalized. The various laws and regulatory policies applicable to the Company and the Bank may limit our ability to pay dividends or otherwise engage in capital distributions.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The Dodd-Frank Act</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The Dodd-Frank Act significantly changed the bank regulatory structure and has affected the lending, deposit, investment, trading, and operating activities of banks and bank holding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Some of the provisions of the Dodd-Frank Act that may impact our business and operations are summarized below.</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Corporate Governance. </w:t>
      </w:r>
      <w:r>
        <w:rPr>
          <w:rFonts w:ascii="Times New Roman" w:cs="Times New Roman" w:eastAsia="Times New Roman" w:hAnsi="Times New Roman"/>
          <w:sz w:val="14"/>
          <w:szCs w:val="14"/>
          <w:color w:val="auto"/>
        </w:rPr>
        <w:t>The Dodd-Frank Act requires publicly traded companies to provide their shareholders with 1) a non-binding shareholder vote on executive compensation; 2) a non-binding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 vote on the frequency of such vote; 3) disclosure of “golden parachute” arrangements in connection with specified change in control transactions; and 4) a non-binding shareholder vote on golden parachute arrangements in connection with these change in control transactions. The SEC adopted a rule mandated by the Dodd-Frank Act that requires a public company to disclose the ratio of the compensation of its Chief Executive Officer (“CEO”) to the median compensation of its employees. This rule is intended to provide shareholders with information that they can use to evaluate a CEO’s compensation.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 w:name="page10"/>
    <w:bookmarkEnd w:id="9"/>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Prohibition Against Charter Conversions of Financial Institutions. </w:t>
      </w:r>
      <w:r>
        <w:rPr>
          <w:rFonts w:ascii="Times New Roman" w:cs="Times New Roman" w:eastAsia="Times New Roman" w:hAnsi="Times New Roman"/>
          <w:sz w:val="14"/>
          <w:szCs w:val="14"/>
          <w:color w:val="auto"/>
        </w:rPr>
        <w:t>The Dodd-Frank Act generally prohibits a depository institution from converting from a state to a federal charter, or vice versa,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while it is the subject to an enforcement action unless the depository institution seeks prior approval from its primary regulator and complies with specified procedures to ensure compliance with the enforcement action.</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Repeal of Demand Deposit Interest Prohibition. </w:t>
      </w:r>
      <w:r>
        <w:rPr>
          <w:rFonts w:ascii="Times New Roman" w:cs="Times New Roman" w:eastAsia="Times New Roman" w:hAnsi="Times New Roman"/>
          <w:sz w:val="14"/>
          <w:szCs w:val="14"/>
          <w:color w:val="auto"/>
        </w:rPr>
        <w:t>The Dodd-Frank Act repealed the federal prohibitions on the payment of interest on demand deposits, thereby permitting depository institutions to pay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on business transaction and other accounts.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Consumer Financial Protection Bureau. </w:t>
      </w:r>
      <w:r>
        <w:rPr>
          <w:rFonts w:ascii="Times New Roman" w:cs="Times New Roman" w:eastAsia="Times New Roman" w:hAnsi="Times New Roman"/>
          <w:sz w:val="14"/>
          <w:szCs w:val="14"/>
          <w:color w:val="auto"/>
        </w:rPr>
        <w:t>The Dodd-Frank Act established the CFPB and empowered it to exercise broad rule making, supervision, and enforcement authority for a wide range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consumer protection laws. In recent years, the CFPB has continued to focus its enforcement and rule making efforts on certain types of fees commonly charged by financial institutions. In addition, the CFPB has recently focused on the use of artificial intelligence, emerging paycheck advance products, financial data privacy, digital payment applications, and open banking. These efforts have included issuing final rules on a number of issues including on fees charged for deposit accounts, credit cards, and other financial products, issuing advisory opinions, pursuing litigation against financial institutions for lack of anti-fraud measures on peer-to-peer payment platforms, and various enforcement actions and penalties against a number of financial institutions for practices related to fraud, credit reporting failures, and discriminatory lending practices.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Interchange Fees. </w:t>
      </w:r>
      <w:r>
        <w:rPr>
          <w:rFonts w:ascii="Times New Roman" w:cs="Times New Roman" w:eastAsia="Times New Roman" w:hAnsi="Times New Roman"/>
          <w:sz w:val="14"/>
          <w:szCs w:val="14"/>
          <w:color w:val="auto"/>
        </w:rPr>
        <w:t>Under the Durbin Amendment to the Dodd-Frank Act, the Federal Reserve adopted rules establishing standards for assessing whether the interchange fees that may be charged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 to certain electronic transactions are "reasonable and proportional" to the costs incurred by issuers for processing such transactions. Notably, the Federal Reserve's rules set a maximum permissible interchange fee, among other requirements. We have been subject to the interchange fee cap since 2019. In October 2023, the Federal Reserve requested comments on a proposed rule that would lower the interchange fee cap and establish a regular process for updating the cap every other year going forward. The Federal Reserve has not issued a final rule and future changes to the interchange fee cap could have a negative effect on the Bank’s fee 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Capital Adequacy</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Banks and bank holding companies are subject to various regulatory capital requirements administered by state and federal regulatory agencies, which involve quantitative measures of assets, liabilities, and certain off-balance sheet items calculated under regulatory guidelines. Capital amounts and classifications are also subject to qualitative judgments by regulators about components, risk weighting, and other factors. The capital requirements are intended to ensure that institutions have adequate capital given the risk levels of assets and off-balance sheet financial instruments and are applied separately to the Company and the Bank.</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Federal regulations require insured depository institutions and bank holding companies to meet several minimum capital standards, including: 1) a common equity Tier 1 capital to risk-based assets ratio of 4.5 percent; 2) a Tier 1 capital to risk-based assets ratio of 6 percent; 3) a total capital to risk-based assets ratio of 8 percent; and 4) a 4 percent Tier 1 capital to total assets leverage ratio.</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regulations also require a capital conservation buffer designed to absorb losses during periods of economic stress. Failure to comply with this buffer requirement may result in constraints on capital distributions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dividends, equity repurchases, and certain bonus compensation for executive officers). The regulations change the risk-weights of certain assets for purposes of the risk-based capital ratios and phase out certain instruments as qualifying capital. For additional information regarding trust preferred securities and their impact to regulatory capital, see Note 12 to the Consolidated Financial Statements in “Item 8. Financial Statements and Supplementary Data.”</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Federal regulations also address the prompt corrective action framework, which is designed to place restrictions on an insured depository institution if its capital levels begin to show signs of weakness. Under the prompt corrective action requirements, which are designed to complement the capital conservation buffer, insured depository institutions are required to meet the following increased capital level requirements to qualify as “well capitalized”: 1) a Tier 1 common equity capital ratio of at least 6.5 percent; 2) a Tier 1 capital ratio of at least 8 percent; 3) a total capital ratio of at least 10 percent; 4) a Tier 1 leverage ratio of at least 5 percent; and 5) not be subject to any order or written directive requiring a specific capital level. The regulations contain other capital classification categories, such as “adequately capitalized,” “undercapitalized,” “significantly undercapitalized,” and “critically undercapitalized,” each of which are based on differing capital ratios. Undercapitalized institutions are subject to certain mandatory restrictions, including on capital distributions and growth. Significantly undercapitalized and critically undercapitalized institutions are subject to additional restrictions. An institution may be downgraded to a category lower than indicated by its capital ratios if it is determined to be in an unsafe or unsound condition, or if the institution receives an unsatisfactory examination rating.</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application of these regulations may result in lower returns on invested capital, require the raising of additional capital or require regulatory action if the Bank were unable to comply with such requirements. In addition, management may be required to modify its business strategy due to the changes to the asset risk-weights for risk-based capital calculations and the requirement to meet the capital conservation buffer. The imposition of liquidity requirements in connection with these rules could also cause the Bank to increase its holdings of liquid assets, change its business strategy, and make other changes to the terms of its funding.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auto"/>
        </w:rPr>
        <w:t>Regulatory Oversight and Examination</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Inspections. </w:t>
      </w:r>
      <w:r>
        <w:rPr>
          <w:rFonts w:ascii="Times New Roman" w:cs="Times New Roman" w:eastAsia="Times New Roman" w:hAnsi="Times New Roman"/>
          <w:sz w:val="14"/>
          <w:szCs w:val="14"/>
          <w:color w:val="auto"/>
        </w:rPr>
        <w:t>The Federal Reserve conducts periodic inspections of bank holding companies. In general, the objectives of the Federal Reserve's inspection program are to ascertain whether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strength of a bank holding company is maintained on an ongoing basis and to determine the effects or consequences of transactions between a bank holding company or its non-banking subsidiaries and its bank subsidiaries. The inspection type and frequency typically varies depending on asset size, complexity of the organization, and the bank holding company’s rating at its last inspection.</w:t>
      </w:r>
    </w:p>
    <w:p>
      <w:pPr>
        <w:spacing w:after="0" w:line="3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i w:val="1"/>
          <w:iCs w:val="1"/>
          <w:color w:val="auto"/>
        </w:rPr>
        <w:t xml:space="preserve">Examinations. </w:t>
      </w:r>
      <w:r>
        <w:rPr>
          <w:rFonts w:ascii="Times New Roman" w:cs="Times New Roman" w:eastAsia="Times New Roman" w:hAnsi="Times New Roman"/>
          <w:sz w:val="14"/>
          <w:szCs w:val="14"/>
          <w:color w:val="auto"/>
        </w:rPr>
        <w:t>Banks are subject to periodic examinations by their primary regulators. In assessing a bank's condition, bank examinations have evolved from reliance on transaction testing to a risk-focused approach. These examinations are extensive and cover the entire breadth of the operations of a bank. Generally, safety and soundness examinations occur on an 18-month cycle for banks under $3 billion in total assets that are well capitalized and without regulatory issues, and 12-months otherwise. Examinations alternate between the federal and state bank regulatory agencies, and in some cases they may occur on a combined schedule. The frequency of consumer compliance and CRA examinations is linked to the size of the institution and its compliance and CRA ratings at its most recent examinations. However, the examination authority of the Federal Reserve and the FDIC allows them to examine supervised institutions as frequently as deemed necessary based on the condition of the institution or as a result of certain triggering events. Because our total consolidated assets exceed $10 billion, we are also subject to direct supervision, periodic examination, and enforcement actions by the CFPB.The CFPB uses a prioritization framework to determine how to focus their examination efforts. The prioritization framework seeks to assess the risk to consumers from specific product lines at the market level and the institution level, and it also takes into consideration the size of supervised institution. In addition, the CFPB monitors consumer complaints, referrals from other agencies, and market intelligence to determine where to focus their enforcement efforts.</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Commercial Real Estate Ratios. </w:t>
      </w:r>
      <w:r>
        <w:rPr>
          <w:rFonts w:ascii="Times New Roman" w:cs="Times New Roman" w:eastAsia="Times New Roman" w:hAnsi="Times New Roman"/>
          <w:sz w:val="14"/>
          <w:szCs w:val="14"/>
          <w:color w:val="auto"/>
        </w:rPr>
        <w:t>The federal banking regulators have also issued guidance reminding financial institutions to reexamine the existing regulations regarding concentrations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 real estate lending. The purpose of the guidance is to guide banks in developing risk management practices and capital levels commensurate with the level and nature of real estate concentrations. The banking regulators are directed to examine each bank’s exposure to commercial real estate loans that are dependent on cash flow from the real estate held as collateral and to focus their supervisory resources on institutions that may have significant commercial real estate loan concentration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Corporate Governance and Accounting</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Sarbanes-Oxley Act of 2002 (“SOX Act”) addresses, among other things, corporate governance, auditing and accounting, enhanced and timely disclosure of corporate information, and penalties for non-compliance. Among other matters, the SOX Act 1) requires chief executive officers and chief financial officers to certify to the accuracy and completeness of periodic reports filed with the SEC and to certain matters relating to disclosure and accounting controls at public companies; 2) imposes specific and enhanced corporate disclosure requirements; 3) accelerates the time frame for reporting insider transactions and periodic disclosures by public companies; and 4) requires companies to adopt and disclose information about corporate governance practices. As a publicly reporting company with the SEC, the Company is subject to the requirements of the SOX Act and related rules and regulations issued by the SEC and the NYSE.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Anti-Money Laundering and Anti-Terrorism</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Bank Secrecy Act, as amended by the Anti-Money Laundering Act of 2020 (“BSA”), requires all financial institutions to establish a risk-based system of internal controls reasonably designed to prevent money laundering and the financing of terrorism, including the development of standards for testing technology and internal processes for BSA compliance. The BSA also sets forth various recordkeeping and reporting requirements (such as reporting suspicious activities that might signal criminal activity) and certain due diligence and "know your customer" documentation requirements. The BSA provides for sanctions or certain BSA violations and establishes BSA whistleblower incentives and protections.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Financial Crimes Enforcement Network (“FinCEN”), a bureau of the U.S. Department of the Treasury, administers the BSA and determines the policy priorities for anti-money laundering and countering the financing of terrorism. The priorities include: corruption, cybercrime, terrorist financing, fraud, transnational crime, drug trafficking, human trafficking, and proliferation financing. FinCEN is also responsible for implementing the access and safeguard provisions of the Corporate Transparency Act. FinCEN’s final rule implementing the reporting requirements under the Corporate Transparency Act requires certain business entities created in or registered to do business in the United States to report to FinCEN information about the business entity and its beneficial owners, among other types of information. The Reporting Rule has been subject to a number of legal challenges and the timing of its full implementation is uncertain.</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Uniting and Strengthening America by Providing Appropriate Tools Required to Intercept and Obstruct Terrorism Act of 2001, as renewed and amended in 2006, (“Patriot Act”) was enacted to combat terrorism. In relevant part, the Patriot Act 1) prohibits banks from providing correspondent accounts directly to foreign shell banks; 2) imposes due diligence requirements on banks opening or holding accounts for foreign financial institutions or wealthy foreign individuals; 3) requires financial institutions to establish an anti-money laundering compliance program; and 4) eliminates civil liability for persons who file suspicious activity reports. The Patriot Act also grants the government power to investigate terrorism, including expanded government access to bank account records. Regulators are directed to consider a bank holding company’s and a bank’s effectiveness in combating money laundering when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 w:name="page12"/>
    <w:bookmarkEnd w:id="11"/>
    <w:p>
      <w:pPr>
        <w:spacing w:after="0" w:line="271" w:lineRule="auto"/>
        <w:rPr>
          <w:sz w:val="20"/>
          <w:szCs w:val="20"/>
          <w:color w:val="auto"/>
        </w:rPr>
      </w:pPr>
      <w:r>
        <w:rPr>
          <w:rFonts w:ascii="Times New Roman" w:cs="Times New Roman" w:eastAsia="Times New Roman" w:hAnsi="Times New Roman"/>
          <w:sz w:val="14"/>
          <w:szCs w:val="14"/>
          <w:color w:val="auto"/>
        </w:rPr>
        <w:t>reviewing and ruling on applications under the BHCA and the Bank Merger Act. We have established comprehensive compliance programs designed to comply with the requirements of the BSA and the Patriot 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Services Modernization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Gramm-Leach-Bliley Financial Services Modernization Act of 1999 (“GLBA”) brought about significant changes to the laws affecting banks and bank holding companies. Generally, the GLBA</w:t>
      </w:r>
    </w:p>
    <w:p>
      <w:pPr>
        <w:spacing w:after="0" w:line="9" w:lineRule="exact"/>
        <w:rPr>
          <w:sz w:val="20"/>
          <w:szCs w:val="20"/>
          <w:color w:val="auto"/>
        </w:rPr>
      </w:pPr>
    </w:p>
    <w:p>
      <w:pPr>
        <w:jc w:val="both"/>
        <w:ind w:firstLine="5"/>
        <w:spacing w:after="0" w:line="256" w:lineRule="auto"/>
        <w:tabs>
          <w:tab w:leader="none" w:pos="1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repealed historical restrictions on preventing banks from affiliating with securities firms; 2) provided a uniform framework for the activities of banks, savings institutions, and their holding companies; 3) broadened the activities that may be conducted by national banks and banking subsidiaries of bank holding companies; 4) provided an enhanced framework for protecting the privacy of consumer information, and established the requirement to notify consumers of bank privacy policies; and 5) addressed a variety of other legal and regulatory issues affecting both day-to-day operations and long-term activities of financial institutions. The Bank is subject to FDIC regulations implementing the privacy provisions of the GLBA. These regulations require the Bank to disclose its privacy policy, including informing consumers of the Bank's information sharing practices and their right to opt out of certain practices, among other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Deposit Insurance</w:t>
      </w:r>
    </w:p>
    <w:p>
      <w:pPr>
        <w:spacing w:after="0" w:line="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FDIC Insurance. </w:t>
      </w:r>
      <w:r>
        <w:rPr>
          <w:rFonts w:ascii="Times New Roman" w:cs="Times New Roman" w:eastAsia="Times New Roman" w:hAnsi="Times New Roman"/>
          <w:sz w:val="14"/>
          <w:szCs w:val="14"/>
          <w:color w:val="auto"/>
        </w:rPr>
        <w:t>The Bank's deposits are insured under the Federal Deposit Insurance Act, up to the maximum applicable limits. The Bank is subject to deposit insurance assessments by the FDIC,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contribute to the funding of the Deposit Insurance Funds (“DIF”) and are imposed on all financial institutions with insured deposits based on the risk each bank poses to the financial system. The FDIC determines the amount of the quarterly assessment based on the financial institutions’ deposit base and the applicable assessment rate. The Dodd-Frank Act redefined the assessment base as the average consolidated total assets less average tangible equity capital of a financial institution. The FDIC determines the assessment rate for insured depository institutions with more than $10 billion in assets under a “scorecard” methodology that seeks to capture both the probability that such an institution will fail and the magnitude of the impact on the DIF if such a failure occurs. Assessment rates are applied to the depository intuition’s base to determine payments to the DIF. The FDIC has authority to increase assessment rates, and rates have remained unchanged since an increase in 2023. The FDIC also communicated that the new rate schedules will remain in effect unless and until the reserve ratio meets or exceeds two percent; progressively lower assessment rates can be expected when the reserve ratio goal is met.</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FDIC has the authority to implement special assessments to recover losses to the DIF caused by systemic risks in the banking industry, which was last exercised in 2023 after the failures a number of large banks. No institution may pay a dividend if it is in default on its federal deposit insurance assessments. The FDIC may also prohibit any insured institution from engaging in any activity determined by regulation or order to pose a serious risk to the DIF. The Bank is not in default on any of its federal deposit insurance assessments.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Safety and Soundness. </w:t>
      </w:r>
      <w:r>
        <w:rPr>
          <w:rFonts w:ascii="Times New Roman" w:cs="Times New Roman" w:eastAsia="Times New Roman" w:hAnsi="Times New Roman"/>
          <w:sz w:val="14"/>
          <w:szCs w:val="14"/>
          <w:color w:val="auto"/>
        </w:rPr>
        <w:t>The FDIC may terminate the deposit insurance of any insured depository institution, after a hearing, if the FDIC determines that the institution has engaged or is engaging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unsafe or unsound practices, is in an unsafe or unsound condition to continue operations, or has violated any applicable law, regulation, order, or any condition imposed by an agreement with the FDIC. Management is not aware of any existing circumstances that would result in termination of the Bank's deposit insurance.</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FDIC Insured Deposits</w:t>
      </w:r>
      <w:r>
        <w:rPr>
          <w:rFonts w:ascii="Times New Roman" w:cs="Times New Roman" w:eastAsia="Times New Roman" w:hAnsi="Times New Roman"/>
          <w:sz w:val="14"/>
          <w:szCs w:val="14"/>
          <w:color w:val="auto"/>
        </w:rPr>
        <w:t>. The Dodd-Frank Act permanently increased FDIC deposit insurance from $100,000 to $250,000 per depositor. The FDIC insurance coverage limit applies per depositor,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insured depository institution for each account ownership category.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Recent and Proposed Legislation</w:t>
      </w:r>
    </w:p>
    <w:p>
      <w:pPr>
        <w:spacing w:after="0" w:line="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economic and political environment of the past several years has led to a number of proposed legislative, governmental, and regulatory initiatives that may significantly impact the banking industry. Other regulatory initiatives by federal and state government agencies may also significantly impact our business. For example, in September 2024, the FDIC published a final Statement of Policy on Bank Merger Transactions addressing the scope of transactions subject to FDIC approval, the FDIC’s process for evaluating merger applications, and the principles that guide the FDIC’s consideration of the applicable statutory factors set forth in the Bank Merger Act. The Statement of Policy states that the FDIC’s analysis, while independent, will continue to be informed by the approach to evaluating competitive effects from the U.S. Department of Justice and the Federal Trade Commission.</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cannot predict the ultimate impact of any such initiatives on our operations, competitive situation, financial conditions, or results of operations, or whether any other proposals will emerge. Recent history has demonstrated that new legislation or changes to existing laws or regulations typically result in a greater compliance burden (and therefore increase the general costs of doing business). While the incoming administration under President Trump is expected to usher in a less aggressive approach to agency oversight of financial institutions, changes to the banking regulatory environment remain to be seen.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Effects of Federal Government Monetary Policy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earnings and growth are affected not only by general economic conditions, but also by the fiscal and monetary policies of the federal government, particularly the Federal Reserve.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Federal Reserve implements national monetary policy to promote maximum employment, stable prices, and moderate long-term interest rates. Through its open market operations in U.S.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2" w:name="page13"/>
    <w:bookmarkEnd w:id="12"/>
    <w:p>
      <w:pPr>
        <w:jc w:val="both"/>
        <w:spacing w:after="0" w:line="259" w:lineRule="auto"/>
        <w:rPr>
          <w:sz w:val="20"/>
          <w:szCs w:val="20"/>
          <w:color w:val="auto"/>
        </w:rPr>
      </w:pPr>
      <w:r>
        <w:rPr>
          <w:rFonts w:ascii="Times New Roman" w:cs="Times New Roman" w:eastAsia="Times New Roman" w:hAnsi="Times New Roman"/>
          <w:sz w:val="14"/>
          <w:szCs w:val="14"/>
          <w:color w:val="auto"/>
        </w:rPr>
        <w:t>government securities, control of the discount rate applicable to borrowings, establishment of reserve requirements against certain deposits, and control of the interest rate applicable to excess reserve balances and reverse repurchase agreements, the Federal Reserve influences the availability and cost of money and credit and, ultimately, a range of economic variables including employment, output, and the prices of goods and services. After increases to the federal funds rate in 2022 and 2023, the Federal Reserve decreased the rate three times in 2024 by a total of 100 basis points. The last rate decrease was in December 2024, and the Federal Reserve has communicated that economic activity has been expanding at a solid pace, the unemployment rate remains low, while inflation has eased by remains elevated. Changes in monetary policy, including increases in the federal funds rate, can affect net interest income and margin, overall profitability, and shareholders’ equity. The nature and impact of future changes in monetary policies and their impact on us cannot be predicted with certainty.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Cybersecurity</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Federal banking regulators regularly issue new guidance and standards, and update existing guidance and standards, intended to enhance cyber risk management among financial institutions. Financial institutions are expected to comply with such guidance and standards and to accordingly develop appropriate security controls and risk management processes. If we fail to observe such regulatory guidance or standards, we could be subject to various regulatory sanctions, including financial penalties.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Federal regulations require banks to notify their primary banking regulator within 36 hours of determining that a “computer-security incident” rising to the level of a “notification incident,” has occurred. Among other types of computer-security incidents, a “notification incident” includes one that has materially disrupted or degraded the banking organization’s ability to carry out banking operations to a material portion of its customer base in the ordinary course of business.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Several states also have regulations requiring certain financial institutions to implement cybersecurity programs and many states, including Montana, have also implemented or recently modified their data breach notification, information security and data privacy requirements. We expect this trend of state-level activity in those areas to continue, and are continually monitoring developments in the states in which our customers are located.</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Risks and exposures related to cybersecurity attacks, including litigation and enforcement risks, are expected to be elevated for the foreseeable future due to the rapidly evolving nature and sophistication of these threats, as well as due to the expanding use of internet banking, mobile banking and other technology-based products and services by us and our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guidance and standards implemented by banking regulators, the SEC requires an annual disclosure of registrants’ cybersecurity risk management, strategy, and governance.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registrants are required to disclose material cybersecurity incidents, including the nature, scope, timing, and impact, within four business days of the incident.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Environmental, Social and Governance</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Bank regulatory agencies and the SEC have shown increased interest in environmental, social and governance matters (“ESG”) and expressed an intent to increase related regulatory oversight of companies efforts to address how ESG issues may affect their businesses. In 2022, multiple federal regulatory agencies formalized their intent by issuing proposed policy statements and rules, and by establishing a pilot climate scenario analysis exercise for large banks. We believe that continued focus on environmental and social issues is consistent with our community banking model. We are continually seeking ways to improve our stewardship of the environment through recycling programs, resource conservation, empowered employees, construction evaluation, and more. Our Nominating/Corporate Governance Committee oversees the Company’s efforts in setting and maintaining high standards for corporate social responsibility and reviewing our performance in ESG matters. The Nominating/Corporate Governance Committee’s environmental and social duties include monitoring and assessing developments, trends and issues related to ESG, monitoring risks and overseeing Company solutions related to ESG, overseeing our reporting and disclosures related to ESG, overseeing and reviewing at least annually policies and programs related to ESG, overseeing our human capital management strategy, and evaluating our overall ESG performance and identifying areas for improvement. The Company’s Community and Social Responsibility Report describes our ESG performance and is located on the Company’s website (www.glacierbancorp.com) under the Governance Documents section.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following is a discussion of what we believe are the most significant risks and uncertainties that may affect our business, financial condition and future results of operations. These risks are not the only ones that we face. Other risks and uncertainties not currently known to us or currently believed to be material may harm our future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Economy and Our Markets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Economic conditions in the market areas the Bank serves may adversely impact its earnings and could increase the credit risk associated with its loan portfolio and the value of its investment portfolio.</w:t>
      </w:r>
    </w:p>
    <w:p>
      <w:pPr>
        <w:jc w:val="both"/>
        <w:spacing w:after="0" w:line="266" w:lineRule="auto"/>
        <w:rPr>
          <w:sz w:val="20"/>
          <w:szCs w:val="20"/>
          <w:color w:val="auto"/>
        </w:rPr>
      </w:pPr>
      <w:r>
        <w:rPr>
          <w:rFonts w:ascii="Times New Roman" w:cs="Times New Roman" w:eastAsia="Times New Roman" w:hAnsi="Times New Roman"/>
          <w:sz w:val="14"/>
          <w:szCs w:val="14"/>
          <w:color w:val="auto"/>
        </w:rPr>
        <w:t>Substantially all of the Bank’s loans are to businesses and individuals in Montana, Idaho, Utah, Washington, Wyoming, Colorado, Arizona and Nevada, and adverse economic conditions in these market areas could have a material adverse effect on our business,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3" w:name="page14"/>
    <w:bookmarkEnd w:id="13"/>
    <w:p>
      <w:pPr>
        <w:jc w:val="both"/>
        <w:spacing w:after="0" w:line="270" w:lineRule="auto"/>
        <w:rPr>
          <w:sz w:val="20"/>
          <w:szCs w:val="20"/>
          <w:color w:val="auto"/>
        </w:rPr>
      </w:pPr>
      <w:r>
        <w:rPr>
          <w:rFonts w:ascii="Times New Roman" w:cs="Times New Roman" w:eastAsia="Times New Roman" w:hAnsi="Times New Roman"/>
          <w:sz w:val="14"/>
          <w:szCs w:val="14"/>
          <w:color w:val="auto"/>
        </w:rPr>
        <w:t>financial condition, results of operations and prospects. Deterioration in the national economy may also have an adverse effect in these markets. Any future deterioration in economic conditions in the markets the Company serves could result in the following consequences, any of which could have an adverse impact, which could be material, on our business, financial condition, results of operations and prospects:</w:t>
      </w:r>
    </w:p>
    <w:p>
      <w:pPr>
        <w:spacing w:after="0" w:line="157"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delinquencies may increase;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 assets and foreclosures may increase;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for loans made may decline in value, in turn reducing customers’ borrowing power and the Bank’s security;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securities within the investment portfolio could become other-than-temporarily impaired, requiring a write-down through earnings to fair value, thereby reducing equity;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cost or non-interest bearing deposits may decrease;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loan and other products and services may decrease.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 in the Bank’s market areas may limit future success.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Commercial banking is a highly competitive business and a consolidating industry. The Bank competes with other commercial banks, credit unions, finance, insurance and other non-depository companies operating in its market areas. The Bank is subject to substantial competition for loans and deposits from other financial institutions. Some of its competitors are not subject to the same degree of regulation and restriction as the Bank while others have greater financial resources than the Bank. If the Bank is unable to effectively compete in its market areas, the Bank’s business, financial condition, results of operations, and prospects could be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continue to grow internally or through acquisitions.</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Historically, we have expanded through a combination of internal growth and selective acquisitions. If market and regulatory conditions change, we may be unable to grow organically or successfully compete for, complete, and integrate potential future acquisitions at the same pace as we have achieved in recent years, or at all. We have historically used our strong stock currency and capital resources to complete acquisitions. Downturns in the stock market and the market price of our stock, changes in our capital position, heightened regulatory scrutiny, and changes in our regulatory standing could each have a negative impact on our ability to complete future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through future acquisitions could, in some circumstances, adversely affect profitability or other performance measures.</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the past, we have been active in acquiring banks and bank holding companies, and we may in the future engage in selected acquisitions of additional financial institutions. There are risks associated with any such acquisitions that could adversely affect profitability and other performance measures. These risks include, among other things, incorrectly assessing the asset quality of a financial institution being acquired, discovering compliance or regulatory issues after the acquisition, encountering greater than anticipated costs and use of management time associated with evaluating potential acquisitions and integrating acquired businesses into our operations, and being unable to profitably deploy funds acquired in an acquisition.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acquisitions may lead to business disruptions that cause the Bank to lose customers or employees to competing financial institutions. Further, acquisitions may also disrupt the Bank's ongoing businesses or create inconsistencies in standards, controls, procedures, and policies that adversely affect relationships with employees, clients, customers, and depositors. If we are unable to manage associated risks, acquisitions may have negative impacts on our operating results and financial condition, which could be material.</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anticipate that we will issue capital stock in connection with future acquisitions. Acquisitions and related issuances of stock may have a dilutive effect on earnings per share, and book value per share, and will in any event reduce the percentage ownership of current shareholders. In acquisitions involving the use of cash as consideration, there will be an impact on our capital position.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goodwill recorded in connection with acquisitions becomes impaired, it could have an adverse impact on earnings and capital.</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Accounting standards require us to account for acquisitions using the acquisition method of accounting. Under acquisition accounting, if the purchase price of an acquired company exceeds the fair value of its net assets, the excess is carried on the acquirer’s balance sheet as goodwill. In accordance with accounting principles generally accepted in the United States of America (“GAAP”), goodwill is not amortized but rather is evaluated for impairment on an annual basis or more frequently if events or circumstances indicate that a potential impairment exists. Our goodwill was not considered impaired as of December 31, 2024 and 2023; however, there can be no assurance that future evaluations of goodwill will not result in findings of impairment and write-downs, which could be material. Since we have $1.051 billion in goodwill, representing 33 percent of our shareholders' equity, impairment of goodwill could have a material adverse effect on our business, financial condition and results of operations. Furthermore, even though it is a non-cash item, significant impairment of goodwill could subject us to regulatory limitations, including limits applicable to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There can be no assurance we will be able to continue paying dividends on our common stock at recent levels.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may not be able to continue paying quarterly dividends commensurate with recent levels given that our ability to pay dividends on our common stock depends on a variety of factors. The payment of dividends is subject to government regulation in that regulatory authorities may prohibit banks and bank holding companies from paying dividends that would constitute an unsafe or unsound banking practice. Our ability to pay dividends is heavily based on our earnings and capital levels. Current guidance from the Federal Reserve provides, among other things, that dividends per share should not exceed earnings per share measured over the previous four fiscal quarters. In certain circumstances, Montana law also places limits or restrictions on a bank’s ability to declare and pay dividends. As a result, our future dividends will generally depend on the level of earnings at the Bank.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Credit and Asset Quality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allowance for credit losses may not be adequate to cover actual loan losses, which could adversely affect earnings.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Bank maintains an allowance for credit losses (“ACL” or “allowance”) in an amount that it believes is adequate to provide for losses in the loan portfolio. While the Bank strives to carefully manage and monitor credit quality and to identify loans that may become non-performing, at any time there are loans included in the portfolio that will result in losses, but that have not been identified as non-performing or potential problem loans. With respect to real estate loans and property taken in satisfaction of such loans (“other real estate owned” or “OREO”), the Bank can be required to recognize significant declines in the value of the underlying real estate collateral quite suddenly as values are updated through appraisals and evaluations (new or updated) performed in the normal course of monitoring the credit quality of the loans. There are many factors that can cause the value of real estate to decline, including declines in the general real estate market, changes in methodology applied by appraisers, and/or using a different appraiser than was used for the prior appraisal or evaluation. The Bank’s ability to recover on real estate loans by selling or disposing of the underlying real estate collateral is adversely impacted by declining values, which increases the likelihood the Bank will suffer losses on defaulted loans beyond the amounts provided for in the ACL. This, in turn, could require material increases in the Bank’s provision for credit losses and ACL. By closely monitoring credit quality, the Bank attempts to identify deteriorating loans before they become non-performing assets and adjust the ACL accordingly. However, because future events are uncertain, and if difficult economic conditions occur, there may be loans that deteriorate to a non-performing status in an accelerated time frame. As a result, future additions to the ACL may be necessary beyond the levels commensurate with any loan growth. Because the loan portfolio contains a number of loans with relatively large balances, the deterioration of one or a few of these loans may cause a significant increase in non-performing loans, requiring an increase to the ACL. Additionally, future significant additions to the ACL may be required based on changes in the mix of loans comprising the portfolio, and changes in the financial condition of borrowers, which may result from changes in economic conditions, or changes in the assumptions used in determining the ACL. Additionally, federal and state banking regulators, as an integral part of their supervisory function, periodically review the Bank’s loan portfolio and the adequacy of the ACL. These regulatory authorities may require the Bank to recognize further provision for credit losses or charge-offs based upon their judgments, which may be different from the Bank’s judgments. Any increase in the ACL could have an adverse effect, which could be material,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Bank’s loan portfolio mix increases the exposure to credit risks tied to deteriorating conditions.</w:t>
      </w:r>
    </w:p>
    <w:p>
      <w:pPr>
        <w:spacing w:after="0" w:line="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loan portfolio contains a high percentage of commercial, commercial real estate, real estate acquisition and development loans in relation to the total loans and total assets. These types of loans have historically been viewed as having more risk of default than residential real estate loans or certain other types of loans or investments and tend to be larger in size. In fact, the FDIC has issued recent pronouncements highlighting the increased risk associated with commercial real estate loans, including with respect to the higher vulnerability of these credits to elevated interest rates and stressed market conditions in many large metropolitan areas, and alerting banks to its concern about banks with a heavy concentration of commercial real estate loans. Because the Bank’s loan portfolio contain commercial and commercial real estate loans with relatively large balances and nonperforming loan balances are very low, the deterioration of the credit quality of a few loans or the loan category may cause a significant increase in non-performing loans. An increase in non-performing loans would result in a loss of earnings from these loans and an increase in the provision for credit losses, and could lead to an increase in charge-offs, which could have a material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5" w:name="page16"/>
    <w:bookmarkEnd w:id="15"/>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The Bank has a high concentration of loans secured by real estate, so a deterioration in the real estate markets could require material increases in the ACL and adversely affect our business, financial condition, and results of operations.</w:t>
      </w:r>
    </w:p>
    <w:p>
      <w:pPr>
        <w:jc w:val="both"/>
        <w:spacing w:after="0" w:line="257" w:lineRule="auto"/>
        <w:rPr>
          <w:sz w:val="20"/>
          <w:szCs w:val="20"/>
          <w:color w:val="auto"/>
        </w:rPr>
      </w:pPr>
      <w:r>
        <w:rPr>
          <w:rFonts w:ascii="Times New Roman" w:cs="Times New Roman" w:eastAsia="Times New Roman" w:hAnsi="Times New Roman"/>
          <w:sz w:val="14"/>
          <w:szCs w:val="14"/>
          <w:color w:val="auto"/>
        </w:rPr>
        <w:t>The Bank has a high degree of concentration in loans secured by real estate. Any future deterioration in the real estate markets could adversely impact borrowers’ ability to repay loans secured by real estate and the value of our real estate collateral, thereby increasing the credit risk associated with the loan portfolio. The Bank’s ability to recover on these loans by selling or disposing of the underlying real estate collateral would be adversely impacted by any decline in real estate values, which increases the likelihood that the Bank will suffer losses on defaulted loans secured by real estate beyond the amounts provided for in the ACL. This, in turn, could require material increases in the ACL which would adversely affect our business, financial condition, and results of operations.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Non-performing assets could increase, which could adversely affect our business, financial condition, and results of operations.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Bank may experience increases in non-performing assets in the future. Non-performing assets (which includes OREO) adversely affect our business, financial condition, and results of operations in various ways. The Bank does not record interest income on non-accrual loans or OREO, thereby adversely affecting its earnings. When the Bank takes collateral in foreclosures and similar proceedings, it is required to mark the related asset to the then fair value of the collateral, less estimated cost to sell, which may result in a charge-off of the value of the asset and lead the Bank to increase the provision for credit losses. An increase in the level of non-performing assets also increases the Bank’s risk profile and may impact the capital levels its regulators believe are appropriate in light of such risks. Further decreases in the value of these assets, or the underlying collateral, or in these borrowers’ performance or financial condition, whether due to economic and market conditions beyond the Bank’s control or not, could adversely affect our business, results of operations and financial condition, perhaps materially. In addition to the carrying costs to maintain OREO, the resolution of non-performing assets increases the Bank’s loan administration costs generally, and requires significant commitments of time from management and our directors, which reduces the time they have to focus on profitably growing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decline in the fair value of the Bank’s investment portfolio could adversely affect earnings and capital.</w:t>
      </w:r>
    </w:p>
    <w:p>
      <w:pPr>
        <w:spacing w:after="0" w:line="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fair value of the Bank’s debt securities could decline as a result of various factors, including changes in market interest rates, tax reform, decreases in credit quality and related credit ratings, lack of market liquidity and other economic conditions. For debt securities in an unrealized loss position, the Company may be required to record an allowance for credit losses or write down the security depending on the type of security and the circumstances. Any such impairment charge would have an adverse effect, which could be material, on our business, results of operations and financial condition, including capital and shareholders’ equity.</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we believe that the terms of our debt securities have been kept relatively short, we are subject to elevated interest rate risk exposure in the current elevated rate environment as compared to recent years. Further, debt securities present a different type of asset quality risk than the loan portfolio. While we believe a relatively conservative management approach has been applied to the investment portfolio, there is always potential loss exposure under changing economic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Bank is subject to environmental liability risk associated with our lending activities.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hold an interest in real estate as collateral for a significant portion of our loan portfolio, and we could become subject to environmental liabilities with respect to one or more of these properties.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Environmental laws may further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Although we have policies and procedures to perform an environmental review before initiating any foreclosure on nonresidential real property, these reviews may not be sufficient to detect all potential environmental hazards. The remediation costs and any other financial liabilities associated with an environmental hazard could have a material adverse effect on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face competition from technologies used to support and enable banking and financial services.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Emerging technologies and advances and growing market acceptance of e-commerce have lowered geographic and monetary barriers to other financial institutions, made it easier for non-depository institutions to offer products and services that traditionally were banking products and services, and allowed non-traditional financial service providers and technology companies to compete with traditional financial service companies in providing electronic and internet-based financial solutions and services, including marketplace lending, financial data aggregation and payment processing, including through real-time payment platforms and electronic securities trading. Further, clients may choose to conduct business with other market participants who engage in business or offer products in areas we deem speculative or risky, such as cryptocurrencies, non-fungible tokens, and other digital assets. Increased competition may negatively affect our earnings by creating pressure to lower prices or credit standards on our products and services requiring additional investment to improve the quality and delivery of our technology and/or reducing our market share, or affecting the willingness of our clients to do business with us.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Interest Rates, Operations and Risk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Fluctuating interest rates can adversely affect profitability and shareholders’ equity.</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Bank’s profitability is dependent to a large extent upon net interest income, which is the difference (or “spread”) between the interest earned on loans, investment securities and other interest earning assets and interest paid on deposits, borrowings, and other interest-bearing liabilities. Because of the differences in maturities and repricing characteristics of interest earning assets and interest-bearing liabilities, changes in interest rates do not produce equivalent changes in interest income earned on interest earning assets and interest paid on interest bearing liabilities. Accordingly, fluctuations in interest rates could adversely affect the Bank’s interest rate spread, and, in turn, profitability. The Bank seeks to manage its interest rate risk within well-established policies and guidelines. Generally, the Bank seeks an asset and liability structure that insulates net interest income from large deviations attributable to changes in market rates. However, the Bank’s structures and practices to manage interest rate risk may not be effective in a highly volatile rate environment. The Federal Reserve decreased the federal funds target rate three times in 2024, with the most recent decrease occurring in December 2024. The Federal Reserve has communicated that the economic outlook continues to be uncertain, and while it has stated that rates may continue to decrease in 2025, there can be no assurance of the timing or amount of any future rate adjustments. Further, there can be no assurance regarding any forecasts or predictions about the effect that any future rate adjustments may have on our results of operations. Elevated interest rates could negatively impact deposit growth and mix, the value of our investments, shareholders’ equity, and the Bank’s profitability.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is subject to the risks of earthquakes, floods, fires, and other catastrophic events.</w:t>
      </w:r>
    </w:p>
    <w:p>
      <w:pPr>
        <w:spacing w:after="0" w:line="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With Bank branches and customers located in Montana, Idaho, Utah, Washington, Wyoming, Colorado, Arizona and Nevada, our business could be affected by natural catastrophes such as droughts, fires, earthquakes, or other natural disasters that affect these regions. The occurrence of any of these events may result in a prolonged interruption of our business and the businesses of our customers and could disrupt the insurability of our assets or the assets of our customers that may be material to their ability to repay or provide collateral for our loans, which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future performance will depend on our ability to respond timely to technological change.</w:t>
      </w:r>
    </w:p>
    <w:p>
      <w:pPr>
        <w:spacing w:after="0" w:line="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financial services industry continues to experience rapid technological changes with frequent introductions of new technology-driven products and services by both other regulated entities and by companies that are not subject to the extensive regulations applicable to banks. The effective use of technology increases efficiency and enables financial institutions to better serve customers and to reduce costs. Our future success will depend upon our ability to address the needs of our customers by using technology to provide products and services that will satisfy customer demands for convenience and additional features, as well as create additional efficiencies in our operations. We may not be able to effectively implement new technology-driven products or services, or be successful in marketing these products and services. Additionally, the implementation of technological changes and upgrades to maintain current systems and integrate new ones may cause service interruptions, transaction processing errors and system conversion delays and may cause us to fail to comply with applicable laws and regulations. There can be no assurance that we will be able to successfully manage the risks associated with increased dependency on technology.</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A failure in or breach of the Bank’s operational or security systems, or those of the Bank’s third-party service providers, including as a result of cyber attacks, could disrupt business, result in the disclosure or misuse of confidential or proprietary information, damage our reputation, increase costs and cause losses.</w:t>
      </w:r>
    </w:p>
    <w:p>
      <w:pPr>
        <w:jc w:val="both"/>
        <w:spacing w:after="0" w:line="243" w:lineRule="auto"/>
        <w:rPr>
          <w:sz w:val="20"/>
          <w:szCs w:val="20"/>
          <w:color w:val="auto"/>
        </w:rPr>
      </w:pPr>
      <w:r>
        <w:rPr>
          <w:rFonts w:ascii="Times New Roman" w:cs="Times New Roman" w:eastAsia="Times New Roman" w:hAnsi="Times New Roman"/>
          <w:sz w:val="14"/>
          <w:szCs w:val="14"/>
          <w:color w:val="auto"/>
        </w:rPr>
        <w:t>In the normal course of its business, the Bank collects, processes and retains sensitive and confidential customer and consumer information. Despite the security measures we have in place, our facilities and systems may be vulnerable to cyber-attacks, security breaches, acts of vandalism, computer viruses, misplaced or lost data, programming or human errors, attacks enhanced or facilitated by artificial intelligence (“AI”) and other similar events.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Information security risks for financial institutions such as the Bank have increased recently in part because of new technologies, the use of the Internet and telecommunications technologies (including mobile devices) to conduct financial and other business transactions, and the increased sophistication and activities of organized crime, foreign actors, hackers, perpetrators of fraud, terrorists and others. In addition to cyber attacks or other security breaches involving the theft of sensitive and confidential information, hackers have engaged in attacks against financial institutions designed to disrupt key business services such as customer-facing web sites. National and international economic and geopolitical conditions may also increase the number of cyber security threats the Bank may face. We may not be able to anticipate or implement effective preventative measures against all security breaches of these types. Although the Bank employs detection and response mechanisms designed to contain and mitigate security incidents, early detection may be thwarted by sophisticated attacks and malware designed to avoid detection, which continue to evolve.</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 Bank faces the risk of operational disruption, failure, termination or capacity constraints of any of the third parties that facilitate its business activities, including third-party service providers, vendors, exchanges, clearing agents, clearing houses or other financial intermediaries. Such parties could also be the source of an attack on, or breach of, the Bank’s operational systems.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7" w:name="page18"/>
    <w:bookmarkEnd w:id="17"/>
    <w:p>
      <w:pPr>
        <w:jc w:val="both"/>
        <w:spacing w:after="0" w:line="271" w:lineRule="auto"/>
        <w:rPr>
          <w:sz w:val="20"/>
          <w:szCs w:val="20"/>
          <w:color w:val="auto"/>
        </w:rPr>
      </w:pPr>
      <w:r>
        <w:rPr>
          <w:rFonts w:ascii="Times New Roman" w:cs="Times New Roman" w:eastAsia="Times New Roman" w:hAnsi="Times New Roman"/>
          <w:sz w:val="14"/>
          <w:szCs w:val="14"/>
          <w:color w:val="auto"/>
        </w:rPr>
        <w:t>Any failures, interruptions or security breaches in our information systems could damage our reputation, result in a loss of customer business, result in a violation of privacy or other laws, or expose us to civil litigation, regulatory fines or losses not covered by insurance.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1C. Cybersecurity” for additional information regarding our efforts to detect, identify, assess, manage, and respond to risks from cybersecurity threats.</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The Company’s business may be materially affected by the emergence of disruptive new technologies or approaches enabled by the rapid pace of innovation unfolding in the artificial intelligence space.</w:t>
      </w:r>
    </w:p>
    <w:p>
      <w:pPr>
        <w:jc w:val="both"/>
        <w:spacing w:after="0" w:line="259" w:lineRule="auto"/>
        <w:rPr>
          <w:sz w:val="20"/>
          <w:szCs w:val="20"/>
          <w:color w:val="auto"/>
        </w:rPr>
      </w:pPr>
      <w:r>
        <w:rPr>
          <w:rFonts w:ascii="Times New Roman" w:cs="Times New Roman" w:eastAsia="Times New Roman" w:hAnsi="Times New Roman"/>
          <w:sz w:val="14"/>
          <w:szCs w:val="14"/>
          <w:color w:val="auto"/>
        </w:rPr>
        <w:t>The safe and responsible integration of AI functionality as it rapidly evolves presents emerging ethical and legal challenges, and the use of such technologies may result in diminished brand trust and reputational harm. As with many innovations, AI presents risks and challenges that could significantly disrupt our business model. In addition, the use of AI by bad actors presents increasingly complex and sophisticated security threats to our confidential customer, employee, and Company data, and we must make additional efforts to maintain network security.</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regulatory landscape surrounding AI technologies is evolving, and the ways in which these technologies will be regulated by governmental authorities, self-regulatory institutions, or other regulatory authorities remains uncertain and may be inconsistent from jurisdiction to jurisdiction. Certain jurisdictions in which we operate are considering or have proposed or enacted legislation and policies regulating AI and non-personal data, such as the recent Executive Order on AI. Such regulations may result in operational costs to modify, maintain, or align our business practices, or constrain our ability to develop, deploy, or maintain these technologies.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have various anti-takeover measures that could impede a takeover.</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articles of incorporation include certain provisions that could make it more difficult to acquire us by means of a tender offer, a proxy contest, merger or otherwise. These provisions include a requirement that any “Business Combination” (as defined in the articles of incorporation) be approved by at least 80 percent of the voting power of the then outstanding shares, unless it is either approved by our Board or certain price and procedural requirements are satisfied. In addition, the authorization of preferred stock, which is intended primarily as a financing tool and not as a defensive measure against takeovers, may potentially be used by management to make more difficult uninvited attempts to acquire control of us. These provisions may have the effect of lengthening the time required to acquire control of us through a tender offer, proxy contest or otherwise, and may deter any potentially unfriendly offers or other efforts to obtain control of us. This could deprive our shareholders of opportunities to realize a premium for their common stock in the Company, even in circumstances where such action is favored by a majority of our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Regulatory Matters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We operate in a highly regulated environment and changes or increases in, or supervisory enforcement of, banking or other laws and regulations or governmental fiscal or monetary policies could adversely affect us.</w:t>
      </w:r>
    </w:p>
    <w:p>
      <w:pPr>
        <w:jc w:val="both"/>
        <w:spacing w:after="0" w:line="255" w:lineRule="auto"/>
        <w:rPr>
          <w:sz w:val="20"/>
          <w:szCs w:val="20"/>
          <w:color w:val="auto"/>
        </w:rPr>
      </w:pPr>
      <w:r>
        <w:rPr>
          <w:rFonts w:ascii="Times New Roman" w:cs="Times New Roman" w:eastAsia="Times New Roman" w:hAnsi="Times New Roman"/>
          <w:sz w:val="14"/>
          <w:szCs w:val="14"/>
          <w:color w:val="auto"/>
        </w:rPr>
        <w:t>We are subject to extensive regulation, supervision and examination by federal and state banking regulators. In addition, as a publicly-traded company, we are subject to regulation by the SEC. Any change in applicable regulations or federal, state or local legislation or in policies or interpretations or regulatory approaches to compliance and enforcement, income tax laws and accounting principles could have a substantial impact on us and our operations. Changes in laws and regulations may also increase expenses by imposing additional fees or taxes or restrictions on operations. Additional legislation and regulations that could significantly affect powers, authority and operations may be enacted or adopted in the future, which could have a material adverse effect on our business, financial condition, and results of operations. Failure to appropriately comply with any such laws, regulations or principles could result in sanctions by regulatory agencies or damage to our reputation, all of which could adversely affect our business, financial condition or results of operations.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Regulators have significant discretion and authority to prevent or remedy unsafe or unsound practices or violations of laws or regulations by financial institutions and bank holding companies in the performance of their supervisory and enforcement duties. Existing and proposed federal and state laws and regulations restrict, limit, and govern all aspects of our activities and may affect our ability to expand our business over time, may result in an increase in our compliance costs, and may affect our ability to attract and retain qualified executive officers and employees. The exercise of regulatory authority may have a negative impact on our business, financial condition and results of operations, including limiting the types of financial services and products we may offer or increasing the ability of non-banks to offer competing financial services and products at lower cost. Additionally, our business is affected significantly by the fiscal and monetary policies of the federal government and its agencies, including the Federal Reserve.</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cannot accurately predict the full effects of recent legislation or the various other governmental, regulatory, monetary and fiscal initiatives which have been and may be enacted. The terms and costs of these activities, or the failure of these actions to help stabilize the financial markets, asset prices, market liquidity and a continuation or worsening of current financial market and economic conditions could materially and adversely affect our business, financial condition, results of operations, and the trading price of our common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Increasing regulatory focus on privacy and security issues and expanding laws and regulatory requirements could impact our business models and expose us to increased liability.</w:t>
      </w:r>
    </w:p>
    <w:p>
      <w:pPr>
        <w:spacing w:after="0" w:line="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are subject to national data protection, privacy and security laws, regulations and codes of conduct that relate to our various business units and data processing activities, which may include sensitive, confidential, and personal information. These laws, regulations and codes may be inconsistent across jurisdictions and are subject to evolving and differing (sometimes conflicting) interpretations. Government officials and regulators, privacy advocates and class action attorneys are increasingly scrutinizing how companies collect, process, use, store, share and transmit personal data, including the transferring of personal information across international borders. This scrutiny can result in new and shifting interpretations of existing laws, thereby further impacting our business. State laws in the United States on privacy, data and related technologies, as well as industry self-regulatory codes and regulatory requirements, create additional privacy and security compliance obligations and expand the scope of potential liability.</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While we have invested in readiness to comply with applicable requirements, the dynamic and evolving nature of these laws, regulations and codes, as well as their interpretation by regulators and courts, may affect our ability to reach current and prospective customers, to respond to individual customer requests under the laws (such as individual rights of access, correction and deletion of their personal information), to implement our business models effectively and to adequately address disclosure requirements. Perception of our practices, products, services or solutions, even if unfounded, as a violation of individual privacy, data protection rights or cybersecurity requirements, subjects us to public criticism, lawsuits, investigations, claims and other proceedings by regulators, industry groups or other third parties, all of which could disrupt or adversely impact our business and reputation and expose us to increased liability, fines and other punitive measures including prohibition on sales of our products, services or solutions, restrictive judicial orders and disgorgement of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Non-compliance with the Patriot Act, BSA, or other laws and regulations could result in fines or sanctions and limit our ability to get regulatory approval of acquisitions.</w:t>
      </w:r>
    </w:p>
    <w:p>
      <w:pPr>
        <w:spacing w:after="0" w:line="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Patriot Act and BSA require financial institutions to develop programs to prevent financial institutions from being used for money laundering and terrorist activities. Failure to comply with these regulations could result in fines or sanctions and limit our ability to get regulatory approval of acquisitions. While we have developed policies and procedures designed to assist in compliance with these laws and regulations, no assurance can be given that these policies and procedures will be effective in preventing violations of these laws and regulations. 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and international economic and geopolitical conditions could adversely affect our future results of operations or market price of our stock.</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business is impacted by factors such as economic, political and market conditions, broad trends in industry and finance, changes in government monetary and fiscal policies, inflation, and financial market volatility, all of which are beyond our control. National and global economies are constantly in flux, as evidenced by recent market volatility resulting from, among other things, the bank failures involving Silicon Valley Bank and Signature Bank in 2023, the effects of inflation, and the ever-changing landscape of the energy and medical industries.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Although inflationary pressures declined throughout 2024, with the annual inflation rate in the United States decreasing to 2.4% during September 2024 as reported by the U.S. Bureau of Labor Statistics, our business may be impacted by periods of high inflation in the future. Small to medium-sized businesses may be impacted more during periods of high inflation as they are not able to leverage economies of scale to mitigate cost pressures compared to larger businesses. Consequently, the ability of our business customers to repay their loans may deteriorate, which would adversely impact our results of operations and financial condition. Furthermore, a prolonged period of inflation could cause wages and other costs to the Company to increase, which could adversely affect our results of operations and financial condition. Nearly all our assets and liabilities are monetary in nature. As a result, interest rates tend to have a more significant impact on our performance than general levels of inflation or deflation. Interest rates do not necessarily move in the same direction or by the same magnitude as the prices of goods and services.</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Future economic conditions cannot be predicted, and any renewed deterioration in the economies of the nation as a whole or in our markets could have an adverse effect, which could be material, on our business, financial condition, results of operations and prospects, and could cause the market price of our stock to decline.</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Significant changes or developments in U.S. laws or policies, and the reactions of the national and global economy to such changes, may have a material adverse effect on our business. </w:t>
      </w:r>
      <w:r>
        <w:rPr>
          <w:rFonts w:ascii="Times New Roman" w:cs="Times New Roman" w:eastAsia="Times New Roman" w:hAnsi="Times New Roman"/>
          <w:sz w:val="14"/>
          <w:szCs w:val="14"/>
          <w:color w:val="auto"/>
        </w:rPr>
        <w:t>Significant changes or developments in U.S. laws and policies can materially adversely affect our business. There are uncertainties around the legal and regulatory approach that will be taken under the Executive branch Administration, and we cannot predict the likelihood, nature or extent of changes in law or government regulations that may arise from future legislation or administrative or executive action, either in the United States or abroad.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Our business is heavily dependent on the services of members of the senior management team.</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believe our success to date has been substantially dependent on our executive management team. In addition, our unique model relies upon the Presidents of our separate Bank divisions, particularly in light of our decentralized management structure in which such Bank divisions have significant local decision-making authority. The unexpected loss of any of these persons could have an adverse effect on our business, financial condition, results of operations, and future growth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could suffer operational, reputational and financial harm if we fail to properly anticipate and manage risk.</w:t>
      </w:r>
    </w:p>
    <w:p>
      <w:pPr>
        <w:spacing w:after="0" w:line="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models and strategies to forecast losses, project revenue, and measure and assess capital requirements for various credit, market, operational and strategic risks. These models require oversight, ongoing monitoring, and periodic reassessment. Models are subject to inherent limitations due to the use of historical trends and simplifying assumptions, uncertainty regarding economic and financial outcomes, and emerging risks from the use of applications that may rely on artificial intelligence. Our models and strategies may not be adequate due to limited historical data and shocks caused by extreme or unanticipated market changes, especially during severe market downturns or stress events. Regardless of the steps we take to ensure effective controls, governance, monitoring and testing, and implement new risk management tools, we could suffer operational, reputational and financial harm if our models and strategies and other risk management tools fail to properly anticipate and manage the current and evolving risks we face.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accounting standards could materially impact our financial statements.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Periodically, the Financial Accounting Standards Board (“FASB”) and the SEC change the financial accounting and reporting standards that govern the preparation of our financial statements. These changes can materially impact how we record and report our financial condition and results of operations. For information regarding the impact of recently issued accounting standards, see “Item 7. Management’s Discussion and Analysis of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Climate change may materially adversely affect the Company's business, financial condition, and results of operations.</w:t>
      </w:r>
    </w:p>
    <w:p>
      <w:pPr>
        <w:spacing w:after="0" w:line="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Concerns over the long-term effects of climate change have led to governmental efforts around the world to mitigate those impacts. Consumers and businesses also may voluntarily change their behavior as a result of these concerns. Both the Bank and its customers will need to respond to new laws and regulations as well as consumer and business preferences resulting from climate change concerns. The Bank and its customers may face cost increases, asset value reductions and operating process changes. The impact on our customers will likely vary depending on their specific attributes, including reliance on or role in carbon-intensive activities. Among the impacts to the Bank could be a drop in demand for our products and services, particularly in certain sectors. In addition, we could face reductions in creditworthiness on the part of some customers or in the value of assets securing loans. The Bank attempts to take these risks into account in making lending and other decisions, including by increasing our business with climate-friendly companies, but the bank’s efforts may not be effective in protecting the Bank from the negative impact of new laws and regulations or changes in consumer or business behavior.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Cybersecurity has become a significant issue for financial institutions around the globe, and the Company is no exception. The Company’s management has integrated cybersecurity issues into the Company’s overall risk management system by making cybersecurity risk a key focus of its internal Strategic Technology Committee, Enterprise Risk Management Committee, and Board Risk Oversight Committee. These committees are provided regular updates on the Bank’s cybersecurity risk management program.</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implemented a variety of mechanisms that are designed to detect, identify, assess, manage, and respond to material risks from cybersecurity threats. The Company’s processes for identifying, assessing, and managing cybersecurity risks include:</w:t>
      </w:r>
    </w:p>
    <w:p>
      <w:pPr>
        <w:spacing w:after="0" w:line="145"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rigorous internal audit process to evaluate the Company’s cybersecurity strategies, with the Audit Committee apprised of risks or control failures that are identified during the audit;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in multiple peer-sharing networks to obtain industry-wide intelligence regarding specific cybersecurity threats and industry best practices to minimize cybersecurity risks;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in simulated cyber-event tabletop exercises designed to test the Company’s incident response capabilities and the robustness of its cybersecurity program;</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information security program that is regularly reviewed, tested, and updated, and includes vulnerability and patch management programs, incident response planning, security monitoring, employee training, and security awareness testing;</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insurance to mitigate the financial impact of a cybersecurity incident on the Company’s business and financial condition;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regulatory examinations that include an assessment of the Company’s cybersecurity management, processes, and controls.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0" w:name="page21"/>
    <w:bookmarkEnd w:id="20"/>
    <w:p>
      <w:pPr>
        <w:ind w:right="20"/>
        <w:spacing w:after="0" w:line="270" w:lineRule="auto"/>
        <w:rPr>
          <w:sz w:val="20"/>
          <w:szCs w:val="20"/>
          <w:color w:val="auto"/>
        </w:rPr>
      </w:pPr>
      <w:r>
        <w:rPr>
          <w:rFonts w:ascii="Times New Roman" w:cs="Times New Roman" w:eastAsia="Times New Roman" w:hAnsi="Times New Roman"/>
          <w:sz w:val="14"/>
          <w:szCs w:val="14"/>
          <w:color w:val="auto"/>
        </w:rPr>
        <w:t>In addition to the internal programs outlined above, the Company engages with external cybersecurity experts to conduct thorough evaluations of the Company’s cybersecurity processes and controls. These third-party consultants conduct periodic comprehensive vulnerability and penetration testing, alongside audits of high-risk technology systems designed to evaluate the efficacy of the Company’s cybersecurity measures. The Company has also retained a third-party cybersecurity firm to assist with the Company’s response to any future cybersecurity breaches.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order to identify material risks from cybersecurity threats associated with the use of third-party service providers, such as bank operations technology, payroll and benefits administrators, and professional service providers, the Company has established a dedicated department within its Enterprise Risk Management division. This department manages risks of third-parties and evaluates cybersecurity risks associated with the Company’s third-party service providers with the Bank’s Information Technology Department.</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Board's Risk Oversight Committee is responsible for oversight and monitoring of the Company’s cyber risk management profile and related programs. In an effort to ensure transparency and provide appropriate oversight and monitoring, the Chief Risk Officer and Chief Information Security Officer present detailed reports to the Risk Oversight Committee on a quarterly basis. These reports address the current landscape of cybersecurity threats, any notable recent incidents, and a summary of emerging cybersecurity trends. The Board is also regularly furnished with key risk indicators and defined risk parameters with respect to the Company’s cybersecurity program. The Board reviews and approves the Company’s cybersecurity policies at least annually.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Management's role in assessing and managing material risks from cybersecurity threats is an important and multifaceted component of the Company’s cybersecurity. Appropriate members of the Company’s senior management, including the Chief Information Security Officer (“CISO”), Chief Risk Officer (“CRO”) and Chief Information Officer (“CIO”), are responsible for assessing and managing cybersecurity risks, which involves an ongoing process of identifying, analyzing, evaluating, and addressing the Company's cybersecurity threats.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employs management and staff members who hold top cybersecurity certifications and have acquired the expertise needed to manage the Company’s cybersecurity program, including a range of technical skills such as intrusion detection, network security control, security incident management, and risk assessment. These management and staff members also participate in structured ongoing training to keep current with industry trends and cybersecurity threats.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CISO has a degree in Business Administration, Finance, and Risk Management from Washington State University. The CISO has over 24 years of experience in cybersecurity and information security. The CISO has maintained a Certified Information Systems Security Professional (CISSP) certification for over 19 years.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CRO has a degree in Business Administration and Finance from the University of Montana. The CRO has over 24 years of combined experience with financial institution risk management, including prior experience as a bank regulator and a credit risk management consultant.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CIO has dual degrees in Accounting and Computer Science from the University of Montana. The CIO has over 31 years of experience managing information technology at the Company.</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processes by which the relevant members of management are informed about and manage the prevention, detection, mitigation, and remediation of cybersecurity incidents include conducting cybersecurity risk assessments, establishing network access controls, creating a vulnerability management program, and continuous monitoring for threats.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not aware of any current cybersecurity threats that are reasonably likely to materially affect the Company’s business strategy, results of operations or financial condition.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1A. Risk Factors” for additional information regarding the risks we face from cybersecurity threats.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schedule provides information on the Company’s 227 properties as of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Properties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Properties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Net Book</w:t>
            </w:r>
          </w:p>
        </w:tc>
      </w:tr>
      <w:tr>
        <w:trPr>
          <w:trHeight w:val="142"/>
        </w:trPr>
        <w:tc>
          <w:tcPr>
            <w:tcW w:w="20" w:type="dxa"/>
            <w:vAlign w:val="bottom"/>
          </w:tcPr>
          <w:p>
            <w:pPr>
              <w:spacing w:after="0"/>
              <w:rPr>
                <w:sz w:val="12"/>
                <w:szCs w:val="12"/>
                <w:color w:val="auto"/>
              </w:rPr>
            </w:pPr>
          </w:p>
        </w:tc>
        <w:tc>
          <w:tcPr>
            <w:tcW w:w="63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1200" w:type="dxa"/>
            <w:vAlign w:val="bottom"/>
          </w:tcPr>
          <w:p>
            <w:pPr>
              <w:jc w:val="center"/>
              <w:ind w:left="289"/>
              <w:spacing w:after="0" w:line="122" w:lineRule="exact"/>
              <w:rPr>
                <w:sz w:val="20"/>
                <w:szCs w:val="20"/>
                <w:color w:val="auto"/>
              </w:rPr>
            </w:pPr>
            <w:r>
              <w:rPr>
                <w:rFonts w:ascii="Times New Roman" w:cs="Times New Roman" w:eastAsia="Times New Roman" w:hAnsi="Times New Roman"/>
                <w:sz w:val="14"/>
                <w:szCs w:val="14"/>
                <w:color w:val="auto"/>
              </w:rPr>
              <w:t>Leased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left="329"/>
              <w:spacing w:after="0" w:line="122" w:lineRule="exact"/>
              <w:rPr>
                <w:sz w:val="20"/>
                <w:szCs w:val="20"/>
                <w:color w:val="auto"/>
              </w:rPr>
            </w:pPr>
            <w:r>
              <w:rPr>
                <w:rFonts w:ascii="Times New Roman" w:cs="Times New Roman" w:eastAsia="Times New Roman" w:hAnsi="Times New Roman"/>
                <w:sz w:val="14"/>
                <w:szCs w:val="14"/>
                <w:color w:val="auto"/>
              </w:rPr>
              <w:t>Owned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ind w:right="549"/>
              <w:spacing w:after="0" w:line="122" w:lineRule="exact"/>
              <w:rPr>
                <w:sz w:val="20"/>
                <w:szCs w:val="20"/>
                <w:color w:val="auto"/>
              </w:rPr>
            </w:pPr>
            <w:r>
              <w:rPr>
                <w:rFonts w:ascii="Times New Roman" w:cs="Times New Roman" w:eastAsia="Times New Roman" w:hAnsi="Times New Roman"/>
                <w:sz w:val="14"/>
                <w:szCs w:val="14"/>
                <w:color w:val="auto"/>
              </w:rPr>
              <w:t>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Montana</w:t>
            </w: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158,896</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Utah</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65,746</w:t>
            </w:r>
          </w:p>
        </w:tc>
      </w:tr>
      <w:tr>
        <w:trPr>
          <w:trHeight w:val="180"/>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Idaho</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48,076</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Colorado</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24,744</w:t>
            </w:r>
          </w:p>
        </w:tc>
      </w:tr>
      <w:tr>
        <w:trPr>
          <w:trHeight w:val="180"/>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Wyoming</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22,174</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Arizona</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16,014</w:t>
            </w:r>
          </w:p>
        </w:tc>
      </w:tr>
      <w:tr>
        <w:trPr>
          <w:trHeight w:val="180"/>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Nevada</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10,227</w:t>
            </w:r>
          </w:p>
        </w:tc>
      </w:tr>
      <w:tr>
        <w:trPr>
          <w:trHeight w:val="180"/>
        </w:trPr>
        <w:tc>
          <w:tcPr>
            <w:tcW w:w="20" w:type="dxa"/>
            <w:vAlign w:val="bottom"/>
            <w:tcBorders>
              <w:bottom w:val="single" w:sz="8" w:color="CCEEFF"/>
            </w:tcBorders>
          </w:tcPr>
          <w:p>
            <w:pPr>
              <w:spacing w:after="0"/>
              <w:rPr>
                <w:sz w:val="15"/>
                <w:szCs w:val="15"/>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Washington</w:t>
            </w: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35,416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all of our facilities are well maintained, generally adequate and suitable for the current operations of our business. In the normal course of business, new locations and facility upgrades occur as needed.</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the Company’s premises and equipment and lease obligations, see Note 4 to the Consolidated Financial Statements in “Item 8. Financial Statements and Supplementary Data.”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involved in various claims, legal actions and complaints which arise in the ordinary course of business. In our opinion, all such matters are adequately covered by insurance, are without merit or are of such kind, or involve such amounts, that unfavorable disposition would not have a material adverse effect on our financial condition or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22" w:name="page23"/>
    <w:bookmarkEnd w:id="22"/>
    <w:p>
      <w:pPr>
        <w:ind w:left="53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6" w:lineRule="exact"/>
        <w:rPr>
          <w:sz w:val="20"/>
          <w:szCs w:val="20"/>
          <w:color w:val="auto"/>
        </w:rPr>
      </w:pPr>
    </w:p>
    <w:p>
      <w:pPr>
        <w:ind w:left="140" w:right="5580" w:hanging="126"/>
        <w:spacing w:after="0" w:line="281"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common stock trades on the NYSE under the symbol GBCI. As of December 31, 2024, there were approximately 1,968 stockholders of record of the Company’s common stock. The closing price per share on December 31, 2024, was $50.22.</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2024, the Company declared total regular dividends in cash of $1.32 per share. Future cash dividends will depend on a variety of factors, including earnings, capital, asset quality, general economic conditions and regulatory considerations. Information regarding the regulatory considerations is set forth under the heading “Supervision and Regulation” in “Item 1.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Stock Purchases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made no stock repurchases during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following graph compares the yearly cumulative total return of the Company’s common stock over a five-year measurement period with the yearly cumulative total return on the stocks included in 1) the Russell 2000 Index; and 2) the KBW NASDAQ Regional Banking Index (“KBW Regional Banking Index”). Total return includes appreciation in market value of the stock as well as the actual cash and stock dividends paid to stockholders. The graph assumes that the value of the each investment was $100 on December 31, 2019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114300</wp:posOffset>
            </wp:positionV>
            <wp:extent cx="4850765" cy="2782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50765" cy="278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color w:val="auto"/>
              </w:rPr>
              <w:t>Period Ending</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12/31/19</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12/31/20</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12/31/21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12/31/22</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12/31/23</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12/31/24</w:t>
            </w: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Glacier Bancorp, Inc.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2000 Index</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142.93</w:t>
            </w: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KBW Regional Banking Index</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130.90</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discussion is intended to provide a more comprehensive review of the Company’s operating results and financial condition from management’s perspective than can be obtained from reading the Consolidated Financial Statements alone. The information includes management’s assessment of material information relevant to the Company’s financial condition and results of operations, material events and uncertainties that are reasonably likely to cause reported information not to be indicative of future operating results or financial condition, and material financial and statistical information that the Company believes will enhance the investors’ understanding of the Company and its financial results. The discussion should be read in conjunction with the Consolidated Financial Statements and the notes thereto included in “Item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the negative version of those words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 The following factors, among others, could cause actual results to differ materially from the anticipated results (express or implied) or other expectations in the forward-looking statements, including those factors set forth under “Risk Factors” and in other sections in this Annual Report on Form 10-K, or the documents incorporated by reference:</w:t>
      </w:r>
    </w:p>
    <w:p>
      <w:pPr>
        <w:spacing w:after="0" w:line="3"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lending and potential adverse changes in the credit quality of the Company’s loan portfolio;</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monetary and fiscal policies, including interest rate policies of the Federal Reserve Board, which may continue to adversely affect the Company’s net interest income and margin, the fair value of its financial instruments, profitability, and stockholders’ equity;</w:t>
      </w:r>
    </w:p>
    <w:p>
      <w:pPr>
        <w:ind w:left="520" w:hanging="260"/>
        <w:spacing w:after="0" w:line="24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including increased FDIC insurance rates and assessments or increased banking and consumer protection regulations, that may adversely affect the Company’s business and strategies;</w:t>
      </w:r>
    </w:p>
    <w:p>
      <w:pPr>
        <w:ind w:left="520" w:hanging="260"/>
        <w:spacing w:after="0" w:line="229"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overall economic conditions, including the impact on the economy of an uncertain interest rate environment, inflationary pressures, the potential for significant changes in economic policies in the new administration, and geopolitical instability, including the wars in Ukraine and the Middle East;</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Company’s ability to negotiate, complete, and successfully integrate any pending or future acquisitions;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or difficulties related to the completion and integration of pending or future acquisitions;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the goodwill recorded by the Company in connection with acquisitions, which may have an adverse impact on earnings and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demand for banking products and services, whether as a result of changes in customer behavior, economic conditions, banking environment, or competition;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of the reputation of banks and the financial services industry, which could adversely affect the Company's ability to obtain and maintain customers;</w:t>
      </w:r>
    </w:p>
    <w:p>
      <w:pPr>
        <w:ind w:left="520" w:hanging="260"/>
        <w:spacing w:after="0" w:line="23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landscape, including as may result from new market entrants or further consolidation in the financial services industry, resulting in the creation of larger competitors with greater financial resources;</w:t>
      </w:r>
    </w:p>
    <w:p>
      <w:pPr>
        <w:ind w:left="520" w:hanging="260"/>
        <w:spacing w:after="0" w:line="24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presented by public stock market volatility, which could adversely affect the market price of the Company’s common stock and the ability to raise additional capital or grow through acquisitions;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dependence on the Chief Executive Officer (“CEO”), the senior management team and the Presidents of Glacier Bank (the “Bank”) divisions;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failure, potential interruption or breach in security of the Company’s systems or changes in technology which could expose the Company to cybersecurity risks, fraud, system failures, or direct liabilities;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natural disasters, including droughts, fires, floods, earthquakes, pandemics, and other unexpected events;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managing risks involved in any of the foregoing;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any reputational damage to the Company resulting from any of the foregoing.</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 factors that could cause actual results to differ materially from those expressed in the forward-looking statements are discussed in “Item 1A. Risk Factors.” Please take into account that forward-looking statements speak only as of the date of this Annual Report on Form 10-K (or documents incorporated by reference, if applicable). Given the described uncertainties and risks, the Company cannot guarantee its future performance or results of operations and you should not place undue reliance on these forward-looking statements. The Company does not undertake any obligation to publicly correct, revise, or update any forward-looking statement if it later becomes aware that actual results are likely to differ materially from those expressed in such forward-looking statement, except as may be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FIVE YEAR SELECTED FINANCIAL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Selected Financial Data</w:t>
      </w: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selected financial data of the Company is derived from the Company’s historical audited financial statements and related notes. The information set forth below should be read in conjunction with “Item 8. Financial Statements and Supplementary Data” contained elsewhere in this Annual Report on Form 10-K.</w:t>
      </w:r>
    </w:p>
    <w:tbl>
      <w:tblPr>
        <w:tblLayout w:type="fixed"/>
        <w:tblInd w:w="2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December 31,</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4"/>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Compounded Annual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3"/>
                <w:szCs w:val="13"/>
                <w:color w:val="auto"/>
                <w:w w:val="98"/>
              </w:rPr>
              <w:t>Growth Rate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06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1"/>
                <w:szCs w:val="11"/>
                <w:color w:val="auto"/>
              </w:rPr>
              <w:t>(Dollars in thousands, except per share data)</w:t>
            </w:r>
          </w:p>
        </w:tc>
        <w:tc>
          <w:tcPr>
            <w:tcW w:w="220" w:type="dxa"/>
            <w:vAlign w:val="bottom"/>
          </w:tcPr>
          <w:p>
            <w:pPr>
              <w:spacing w:after="0"/>
              <w:rPr>
                <w:sz w:val="10"/>
                <w:szCs w:val="10"/>
                <w:color w:val="auto"/>
              </w:rPr>
            </w:pPr>
          </w:p>
        </w:tc>
        <w:tc>
          <w:tcPr>
            <w:tcW w:w="90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337"/>
              <w:spacing w:after="0" w:line="107" w:lineRule="exact"/>
              <w:rPr>
                <w:sz w:val="20"/>
                <w:szCs w:val="20"/>
                <w:color w:val="auto"/>
              </w:rPr>
            </w:pPr>
            <w:r>
              <w:rPr>
                <w:rFonts w:ascii="Times New Roman" w:cs="Times New Roman" w:eastAsia="Times New Roman" w:hAnsi="Times New Roman"/>
                <w:sz w:val="12"/>
                <w:szCs w:val="12"/>
                <w:color w:val="auto"/>
              </w:rPr>
              <w:t>2020</w:t>
            </w:r>
          </w:p>
        </w:tc>
        <w:tc>
          <w:tcPr>
            <w:tcW w:w="80" w:type="dxa"/>
            <w:vAlign w:val="bottom"/>
          </w:tcPr>
          <w:p>
            <w:pPr>
              <w:spacing w:after="0"/>
              <w:rPr>
                <w:sz w:val="10"/>
                <w:szCs w:val="10"/>
                <w:color w:val="auto"/>
              </w:rPr>
            </w:pPr>
          </w:p>
        </w:tc>
        <w:tc>
          <w:tcPr>
            <w:tcW w:w="1460" w:type="dxa"/>
            <w:vAlign w:val="bottom"/>
            <w:gridSpan w:val="3"/>
          </w:tcPr>
          <w:p>
            <w:pPr>
              <w:ind w:left="360"/>
              <w:spacing w:after="0" w:line="107" w:lineRule="exact"/>
              <w:rPr>
                <w:sz w:val="20"/>
                <w:szCs w:val="20"/>
                <w:color w:val="auto"/>
              </w:rPr>
            </w:pPr>
            <w:r>
              <w:rPr>
                <w:rFonts w:ascii="Times New Roman" w:cs="Times New Roman" w:eastAsia="Times New Roman" w:hAnsi="Times New Roman"/>
                <w:sz w:val="12"/>
                <w:szCs w:val="12"/>
                <w:color w:val="auto"/>
              </w:rPr>
              <w:t>1-Year</w:t>
            </w:r>
          </w:p>
        </w:tc>
        <w:tc>
          <w:tcPr>
            <w:tcW w:w="760" w:type="dxa"/>
            <w:vAlign w:val="bottom"/>
          </w:tcPr>
          <w:p>
            <w:pPr>
              <w:jc w:val="right"/>
              <w:ind w:right="317"/>
              <w:spacing w:after="0" w:line="107" w:lineRule="exact"/>
              <w:rPr>
                <w:sz w:val="20"/>
                <w:szCs w:val="20"/>
                <w:color w:val="auto"/>
              </w:rPr>
            </w:pPr>
            <w:r>
              <w:rPr>
                <w:rFonts w:ascii="Times New Roman" w:cs="Times New Roman" w:eastAsia="Times New Roman" w:hAnsi="Times New Roman"/>
                <w:sz w:val="12"/>
                <w:szCs w:val="12"/>
                <w:color w:val="auto"/>
              </w:rPr>
              <w:t>5-Year</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3060" w:type="dxa"/>
            <w:vAlign w:val="bottom"/>
            <w:gridSpan w:val="3"/>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Selected Statements of Financial Condition</w:t>
            </w: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Information</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27,902,987</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27,742,629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26,635,375</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25,940,645</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18,504,206</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securities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7,540,052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8,288,130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9,022,359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10,370,013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5,527,650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Loans receivable, net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17,055,808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16,005,325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15,064,529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13,259,366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10,964,453</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(158,243)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Goodwill and intangibles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1,017,263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1,026,994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1,037,652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569,522</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Deposits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20,546,994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19,929,167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20,606,555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21,337,249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14,797,529</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Federal Home Loan Bank advances</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FRB Bank Term Funding</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color w:val="auto"/>
                <w:w w:val="98"/>
              </w:rPr>
              <w:t>Securities sold under agreements to repurchase and other</w:t>
            </w: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1,860,816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1,568,545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1,023,209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1,064,888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1,037,651</w:t>
            </w: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18.6 %</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borrowed funds</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 equity</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3,223,854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3,020,281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2,843,305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3,177,622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2,307,041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Equity per share</w:t>
            </w:r>
          </w:p>
        </w:tc>
        <w:tc>
          <w:tcPr>
            <w:tcW w:w="2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28.43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28.71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24.18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 as a percentage of total assets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measurable</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6"/>
            <w:vMerge w:val="restart"/>
          </w:tcPr>
          <w:p>
            <w:pPr>
              <w:jc w:val="right"/>
              <w:ind w:right="116"/>
              <w:spacing w:after="0"/>
              <w:rPr>
                <w:sz w:val="20"/>
                <w:szCs w:val="20"/>
                <w:color w:val="auto"/>
              </w:rPr>
            </w:pPr>
            <w:r>
              <w:rPr>
                <w:rFonts w:ascii="Times New Roman" w:cs="Times New Roman" w:eastAsia="Times New Roman" w:hAnsi="Times New Roman"/>
                <w:sz w:val="13"/>
                <w:szCs w:val="13"/>
                <w:color w:val="auto"/>
              </w:rPr>
              <w:t>Years ended December 31,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w w:val="96"/>
              </w:rPr>
              <w:t>Compounded Annual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698"/>
              <w:spacing w:after="0"/>
              <w:rPr>
                <w:sz w:val="20"/>
                <w:szCs w:val="20"/>
                <w:color w:val="auto"/>
              </w:rPr>
            </w:pPr>
            <w:r>
              <w:rPr>
                <w:rFonts w:ascii="Times New Roman" w:cs="Times New Roman" w:eastAsia="Times New Roman" w:hAnsi="Times New Roman"/>
                <w:sz w:val="13"/>
                <w:szCs w:val="13"/>
                <w:color w:val="auto"/>
                <w:w w:val="98"/>
              </w:rPr>
              <w:t>Growth Rate</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0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1"/>
                <w:szCs w:val="11"/>
                <w:color w:val="auto"/>
              </w:rPr>
              <w:t>(Dollars in thousands, except per share data)</w:t>
            </w:r>
          </w:p>
        </w:tc>
        <w:tc>
          <w:tcPr>
            <w:tcW w:w="220" w:type="dxa"/>
            <w:vAlign w:val="bottom"/>
          </w:tcPr>
          <w:p>
            <w:pPr>
              <w:spacing w:after="0"/>
              <w:rPr>
                <w:sz w:val="10"/>
                <w:szCs w:val="10"/>
                <w:color w:val="auto"/>
              </w:rPr>
            </w:pPr>
          </w:p>
        </w:tc>
        <w:tc>
          <w:tcPr>
            <w:tcW w:w="820" w:type="dxa"/>
            <w:vAlign w:val="bottom"/>
          </w:tcPr>
          <w:p>
            <w:pPr>
              <w:jc w:val="right"/>
              <w:ind w:right="337"/>
              <w:spacing w:after="0" w:line="107" w:lineRule="exact"/>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337"/>
              <w:spacing w:after="0" w:line="107" w:lineRule="exact"/>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37"/>
              <w:spacing w:after="0" w:line="107" w:lineRule="exact"/>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37"/>
              <w:spacing w:after="0" w:line="107" w:lineRule="exact"/>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337"/>
              <w:spacing w:after="0" w:line="107" w:lineRule="exact"/>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0"/>
                <w:szCs w:val="10"/>
                <w:color w:val="auto"/>
              </w:rPr>
            </w:pPr>
          </w:p>
        </w:tc>
        <w:tc>
          <w:tcPr>
            <w:tcW w:w="1500" w:type="dxa"/>
            <w:vAlign w:val="bottom"/>
            <w:gridSpan w:val="3"/>
          </w:tcPr>
          <w:p>
            <w:pPr>
              <w:ind w:left="360"/>
              <w:spacing w:after="0" w:line="107" w:lineRule="exact"/>
              <w:rPr>
                <w:sz w:val="20"/>
                <w:szCs w:val="20"/>
                <w:color w:val="auto"/>
              </w:rPr>
            </w:pPr>
            <w:r>
              <w:rPr>
                <w:rFonts w:ascii="Times New Roman" w:cs="Times New Roman" w:eastAsia="Times New Roman" w:hAnsi="Times New Roman"/>
                <w:sz w:val="12"/>
                <w:szCs w:val="12"/>
                <w:color w:val="auto"/>
              </w:rPr>
              <w:t>1-Year</w:t>
            </w:r>
          </w:p>
        </w:tc>
        <w:tc>
          <w:tcPr>
            <w:tcW w:w="780" w:type="dxa"/>
            <w:vAlign w:val="bottom"/>
          </w:tcPr>
          <w:p>
            <w:pPr>
              <w:jc w:val="right"/>
              <w:ind w:right="317"/>
              <w:spacing w:after="0" w:line="107" w:lineRule="exact"/>
              <w:rPr>
                <w:sz w:val="20"/>
                <w:szCs w:val="20"/>
                <w:color w:val="auto"/>
              </w:rPr>
            </w:pPr>
            <w:r>
              <w:rPr>
                <w:rFonts w:ascii="Times New Roman" w:cs="Times New Roman" w:eastAsia="Times New Roman" w:hAnsi="Times New Roman"/>
                <w:sz w:val="12"/>
                <w:szCs w:val="12"/>
                <w:color w:val="auto"/>
              </w:rPr>
              <w:t>5-Year</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330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Summary Statements of Operations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1,139,850</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1,017,655</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829,640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681,074</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627,064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435,218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325,973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41,261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27,315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80" w:type="dxa"/>
            <w:vAlign w:val="bottom"/>
            <w:gridSpan w:val="2"/>
          </w:tcPr>
          <w:p>
            <w:pPr>
              <w:ind w:left="240"/>
              <w:spacing w:after="0" w:line="146" w:lineRule="exact"/>
              <w:rPr>
                <w:sz w:val="20"/>
                <w:szCs w:val="20"/>
                <w:color w:val="auto"/>
              </w:rPr>
            </w:pPr>
            <w:r>
              <w:rPr>
                <w:rFonts w:ascii="Times New Roman" w:cs="Times New Roman" w:eastAsia="Times New Roman" w:hAnsi="Times New Roman"/>
                <w:sz w:val="13"/>
                <w:szCs w:val="13"/>
                <w:color w:val="auto"/>
              </w:rPr>
              <w:t>Net interest income</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704,632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691,682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788,379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662,516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599,749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39,765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Non-interest income</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Non-interest expense</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578,468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527,358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518,868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434,822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404,811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267,608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370,280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349,438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Federal and state income tax expense</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36,160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67,078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64,681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61,640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190,144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222,927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303,202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284,757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266,400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280" w:type="dxa"/>
            <w:vAlign w:val="bottom"/>
            <w:gridSpan w:val="2"/>
            <w:shd w:val="clear" w:color="auto" w:fill="CCEEFF"/>
          </w:tcPr>
          <w:p>
            <w:pPr>
              <w:ind w:left="240"/>
              <w:spacing w:after="0" w:line="148" w:lineRule="exact"/>
              <w:rPr>
                <w:sz w:val="20"/>
                <w:szCs w:val="20"/>
                <w:color w:val="auto"/>
              </w:rPr>
            </w:pPr>
            <w:r>
              <w:rPr>
                <w:rFonts w:ascii="Times New Roman" w:cs="Times New Roman" w:eastAsia="Times New Roman" w:hAnsi="Times New Roman"/>
                <w:sz w:val="13"/>
                <w:szCs w:val="13"/>
                <w:color w:val="auto"/>
              </w:rPr>
              <w:t>Basic earnings per share</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declared per share</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3"/>
                <w:szCs w:val="13"/>
                <w:color w:val="auto"/>
                <w:w w:val="98"/>
              </w:rPr>
              <w:t>At or for the 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(Dollars in thousands)</w:t>
            </w:r>
          </w:p>
        </w:tc>
        <w:tc>
          <w:tcPr>
            <w:tcW w:w="112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0"/>
                <w:szCs w:val="10"/>
                <w:color w:val="auto"/>
              </w:rPr>
            </w:pPr>
          </w:p>
        </w:tc>
        <w:tc>
          <w:tcPr>
            <w:tcW w:w="1120" w:type="dxa"/>
            <w:vAlign w:val="bottom"/>
          </w:tcPr>
          <w:p>
            <w:pPr>
              <w:jc w:val="right"/>
              <w:ind w:right="357"/>
              <w:spacing w:after="0" w:line="107" w:lineRule="exact"/>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0"/>
                <w:szCs w:val="10"/>
                <w:color w:val="auto"/>
              </w:rPr>
            </w:pPr>
          </w:p>
        </w:tc>
        <w:tc>
          <w:tcPr>
            <w:tcW w:w="114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0"/>
                <w:szCs w:val="10"/>
                <w:color w:val="auto"/>
              </w:rPr>
            </w:pPr>
          </w:p>
        </w:tc>
        <w:tc>
          <w:tcPr>
            <w:tcW w:w="1140" w:type="dxa"/>
            <w:vAlign w:val="bottom"/>
          </w:tcPr>
          <w:p>
            <w:pPr>
              <w:jc w:val="right"/>
              <w:ind w:right="377"/>
              <w:spacing w:after="0" w:line="107" w:lineRule="exact"/>
              <w:rPr>
                <w:sz w:val="20"/>
                <w:szCs w:val="20"/>
                <w:color w:val="auto"/>
              </w:rPr>
            </w:pPr>
            <w:r>
              <w:rPr>
                <w:rFonts w:ascii="Times New Roman" w:cs="Times New Roman" w:eastAsia="Times New Roman" w:hAnsi="Times New Roman"/>
                <w:sz w:val="12"/>
                <w:szCs w:val="12"/>
                <w:color w:val="auto"/>
              </w:rPr>
              <w:t>2020</w:t>
            </w:r>
          </w:p>
        </w:tc>
        <w:tc>
          <w:tcPr>
            <w:tcW w:w="0" w:type="dxa"/>
            <w:vAlign w:val="bottom"/>
          </w:tcPr>
          <w:p>
            <w:pPr>
              <w:spacing w:after="0"/>
              <w:rPr>
                <w:sz w:val="1"/>
                <w:szCs w:val="1"/>
                <w:color w:val="auto"/>
              </w:rPr>
            </w:pPr>
          </w:p>
        </w:tc>
      </w:tr>
      <w:tr>
        <w:trPr>
          <w:trHeight w:val="22"/>
        </w:trPr>
        <w:tc>
          <w:tcPr>
            <w:tcW w:w="10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32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Selected Ratios and Other Data</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Return on average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0.68 %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0.81 %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1.62 %</w:t>
            </w: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Return on average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12.15 %</w:t>
            </w:r>
          </w:p>
        </w:tc>
        <w:tc>
          <w:tcPr>
            <w:tcW w:w="0" w:type="dxa"/>
            <w:vAlign w:val="bottom"/>
          </w:tcPr>
          <w:p>
            <w:pPr>
              <w:spacing w:after="0"/>
              <w:rPr>
                <w:sz w:val="1"/>
                <w:szCs w:val="1"/>
                <w:color w:val="auto"/>
              </w:rPr>
            </w:pPr>
          </w:p>
        </w:tc>
      </w:tr>
      <w:tr>
        <w:trPr>
          <w:trHeight w:val="16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Dividend payout ratio</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78.57 %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47.74 %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47.33 %</w:t>
            </w: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Average equity to average asset ratio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13.35 %</w:t>
            </w:r>
          </w:p>
        </w:tc>
        <w:tc>
          <w:tcPr>
            <w:tcW w:w="0" w:type="dxa"/>
            <w:vAlign w:val="bottom"/>
          </w:tcPr>
          <w:p>
            <w:pPr>
              <w:spacing w:after="0"/>
              <w:rPr>
                <w:sz w:val="1"/>
                <w:szCs w:val="1"/>
                <w:color w:val="auto"/>
              </w:rPr>
            </w:pPr>
          </w:p>
        </w:tc>
      </w:tr>
      <w:tr>
        <w:trPr>
          <w:trHeight w:val="16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capital (to risk-weighted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14.63 %</w:t>
            </w: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12.42 %</w:t>
            </w:r>
          </w:p>
        </w:tc>
        <w:tc>
          <w:tcPr>
            <w:tcW w:w="0" w:type="dxa"/>
            <w:vAlign w:val="bottom"/>
          </w:tcPr>
          <w:p>
            <w:pPr>
              <w:spacing w:after="0"/>
              <w:rPr>
                <w:sz w:val="1"/>
                <w:szCs w:val="1"/>
                <w:color w:val="auto"/>
              </w:rPr>
            </w:pPr>
          </w:p>
        </w:tc>
      </w:tr>
      <w:tr>
        <w:trPr>
          <w:trHeight w:val="16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Equity Tier 1 (to risk-weighted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12.42 %</w:t>
            </w: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Tier 1 capital (to average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9.12 %</w:t>
            </w:r>
          </w:p>
        </w:tc>
        <w:tc>
          <w:tcPr>
            <w:tcW w:w="0" w:type="dxa"/>
            <w:vAlign w:val="bottom"/>
          </w:tcPr>
          <w:p>
            <w:pPr>
              <w:spacing w:after="0"/>
              <w:rPr>
                <w:sz w:val="1"/>
                <w:szCs w:val="1"/>
                <w:color w:val="auto"/>
              </w:rPr>
            </w:pPr>
          </w:p>
        </w:tc>
      </w:tr>
      <w:tr>
        <w:trPr>
          <w:trHeight w:val="127"/>
        </w:trPr>
        <w:tc>
          <w:tcPr>
            <w:tcW w:w="322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color w:val="auto"/>
              </w:rPr>
              <w:t>Net interest margin on average earning assets (tax-</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2.77 %</w:t>
            </w: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2.73 %</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3.27 %</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3.42 %</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4.09 %</w:t>
            </w:r>
          </w:p>
        </w:tc>
        <w:tc>
          <w:tcPr>
            <w:tcW w:w="0" w:type="dxa"/>
            <w:vAlign w:val="bottom"/>
          </w:tcPr>
          <w:p>
            <w:pPr>
              <w:spacing w:after="0"/>
              <w:rPr>
                <w:sz w:val="1"/>
                <w:szCs w:val="1"/>
                <w:color w:val="auto"/>
              </w:rPr>
            </w:pPr>
          </w:p>
        </w:tc>
      </w:tr>
      <w:tr>
        <w:trPr>
          <w:trHeight w:val="168"/>
        </w:trPr>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equivalent)</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 xml:space="preserve">Efficiency ratio </w:t>
            </w:r>
            <w:r>
              <w:rPr>
                <w:rFonts w:ascii="Times New Roman" w:cs="Times New Roman" w:eastAsia="Times New Roman" w:hAnsi="Times New Roman"/>
                <w:sz w:val="16"/>
                <w:szCs w:val="16"/>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66.71 %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62.85 %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54.64 %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51.35 %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49.97 %</w:t>
            </w:r>
          </w:p>
        </w:tc>
        <w:tc>
          <w:tcPr>
            <w:tcW w:w="0" w:type="dxa"/>
            <w:vAlign w:val="bottom"/>
          </w:tcPr>
          <w:p>
            <w:pPr>
              <w:spacing w:after="0"/>
              <w:rPr>
                <w:sz w:val="1"/>
                <w:szCs w:val="1"/>
                <w:color w:val="auto"/>
              </w:rPr>
            </w:pPr>
          </w:p>
        </w:tc>
      </w:tr>
      <w:tr>
        <w:trPr>
          <w:trHeight w:val="16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Allowance for credit losses as a percent of loans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1.42 %</w:t>
            </w:r>
          </w:p>
        </w:tc>
        <w:tc>
          <w:tcPr>
            <w:tcW w:w="0" w:type="dxa"/>
            <w:vAlign w:val="bottom"/>
          </w:tcPr>
          <w:p>
            <w:pPr>
              <w:spacing w:after="0"/>
              <w:rPr>
                <w:sz w:val="1"/>
                <w:szCs w:val="1"/>
                <w:color w:val="auto"/>
              </w:rPr>
            </w:pPr>
          </w:p>
        </w:tc>
      </w:tr>
      <w:tr>
        <w:trPr>
          <w:trHeight w:val="129"/>
        </w:trPr>
        <w:tc>
          <w:tcPr>
            <w:tcW w:w="322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Allowance for credit losses as a percent of nonperforming</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774 %</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799 %</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557 %</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255 %</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470 %</w:t>
            </w:r>
          </w:p>
        </w:tc>
        <w:tc>
          <w:tcPr>
            <w:tcW w:w="0" w:type="dxa"/>
            <w:vAlign w:val="bottom"/>
          </w:tcPr>
          <w:p>
            <w:pPr>
              <w:spacing w:after="0"/>
              <w:rPr>
                <w:sz w:val="1"/>
                <w:szCs w:val="1"/>
                <w:color w:val="auto"/>
              </w:rPr>
            </w:pPr>
          </w:p>
        </w:tc>
      </w:tr>
      <w:tr>
        <w:trPr>
          <w:trHeight w:val="170"/>
        </w:trPr>
        <w:tc>
          <w:tcPr>
            <w:tcW w:w="3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loans</w:t>
            </w: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Non-performing assets as a percentage of subsidiary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0.19 %</w:t>
            </w: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Non-performing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$27,786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67,691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35,433</w:t>
            </w:r>
          </w:p>
        </w:tc>
        <w:tc>
          <w:tcPr>
            <w:tcW w:w="0" w:type="dxa"/>
            <w:vAlign w:val="bottom"/>
          </w:tcPr>
          <w:p>
            <w:pPr>
              <w:spacing w:after="0"/>
              <w:rPr>
                <w:sz w:val="1"/>
                <w:szCs w:val="1"/>
                <w:color w:val="auto"/>
              </w:rPr>
            </w:pPr>
          </w:p>
        </w:tc>
      </w:tr>
      <w:tr>
        <w:trPr>
          <w:trHeight w:val="168"/>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Loans originated</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$5,151,138</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4,449,350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8,039,623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8,551,419</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7,934,881</w:t>
            </w:r>
          </w:p>
        </w:tc>
        <w:tc>
          <w:tcPr>
            <w:tcW w:w="0" w:type="dxa"/>
            <w:vAlign w:val="bottom"/>
          </w:tcPr>
          <w:p>
            <w:pPr>
              <w:spacing w:after="0"/>
              <w:rPr>
                <w:sz w:val="1"/>
                <w:szCs w:val="1"/>
                <w:color w:val="auto"/>
              </w:rPr>
            </w:pPr>
          </w:p>
        </w:tc>
      </w:tr>
      <w:tr>
        <w:trPr>
          <w:trHeight w:val="172"/>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Number of full time equivalent employees</w:t>
            </w: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3,441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3,294</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3,390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3,436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2,970</w:t>
            </w:r>
          </w:p>
        </w:tc>
        <w:tc>
          <w:tcPr>
            <w:tcW w:w="0" w:type="dxa"/>
            <w:vAlign w:val="bottom"/>
          </w:tcPr>
          <w:p>
            <w:pPr>
              <w:spacing w:after="0"/>
              <w:rPr>
                <w:sz w:val="1"/>
                <w:szCs w:val="1"/>
                <w:color w:val="auto"/>
              </w:rPr>
            </w:pPr>
          </w:p>
        </w:tc>
      </w:tr>
      <w:tr>
        <w:trPr>
          <w:trHeight w:val="165"/>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Number of locations</w:t>
            </w: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55" w:lineRule="exact"/>
        <w:rPr>
          <w:sz w:val="20"/>
          <w:szCs w:val="20"/>
          <w:color w:val="auto"/>
        </w:rPr>
      </w:pPr>
    </w:p>
    <w:p>
      <w:pPr>
        <w:ind w:left="60" w:hanging="55"/>
        <w:spacing w:after="0" w:line="218" w:lineRule="auto"/>
        <w:tabs>
          <w:tab w:leader="none" w:pos="69"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Non-interest expense before OREO expenses, core deposit intangibles amortization, goodwill impairment charges, and non-recurring expense items as a percentage of tax-equivalent net interest income and non-interest income, excluding gains or losses on sale of investments, OREO income, and non-recurring income items.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2024 COMPARED TO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Highlights and Overview</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continued to experience pressure during 2024 from the historic interest rate increases during 2023. While the Company experienced an overall decline in net income during the current year, the increase in the net interest margin for each quarter of 2024 combined with its two acquisitions in 2024 has provided a solid foundation for improved financial performance.</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income for the current year was $190 million, a decrease of $32.8 million, or 15 percent, over the prior year net income of $223 million. The decrease in net income during the current year was primarily driven by the significant increase in funding costs, increased operating costs from acquisitions and an $8.6 million increase in acquisition-related expenses. Diluted earnings per share for the year was $1.68, a decrease of 16 percent, from the 2023 diluted earnings per share of $2.01. Net interest income of $705 million for 2024 increased $13.0 million, or 2 percent, over 2023 and was primarily driven by increased interest income which outpaced the increase in interest expense. Non-interest expense of $578 million for 2024 increased $51.1 million, or 10 percent, during the current year and was primarily driven by increased operating expenses from the current year acquisitions and an $8.6 million increase in acquisition-related expenses. The Company’s increase in credit loss expense of $13.5 million during the current year was primarily driven by a $9.7 million provision for credit losses associated with the current year acquisitions.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net interest margin for 2024 was 2.77 percent, a 4 basis points increase from the net interest margin of 2.73 percent from 2023, which was primarily driven by the increase in earning asset yields which outpaced the increase in funding cost. The earning asset yield of 4.44 percent for the current year increased 45 basis points over the prior year and the total cost of funding yield of 1.79 percent for the current year increased 44 basis points over the prior year.</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ended the year at $27.903 billion in assets, which was a $160 million, or 1 percent, increase over the prior year end and was primarily driven by the increase in the loan portfolio which more than offset the decrease in debt securities and interest bearing cash. Loan growth was $1.064 billion, or 7 percent, during 2024 which was driven by both acquisitions and internal loan growth. Total deposits of $20.547 billion increased $618 million, or 3 percent, from the prior year end and was primarily driven by the current year acquisitions. Stockholders’ equity increased $204 million, or $1.19 per share, which was the combined result of earnings retention, $92.4 million of Company common stock issued for an acquisition and the decrease in the unrealized loss on AFS debt securities in 2024. The Company declared quarterly dividends totaling $1.32 per share during 2024 and 2023.</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credit quality remains strong, ending the current year with $27.8 million in non-performing assets compared to $25.6 million at prior year end. Net charge-offs for 2024 remained low at 0.08 percent of loans compared to 0.06 percent of loans during the prior year. The Company also continues to maintain an adequate allowance for credit losses at 1.19 percent of loans at year end 2024 and year end 2023.</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2024, the Company acquired Community Financial Group, Inc., the parent company of Wheatland Bank, a leading eastern Washington community bank headquartered in Spokane with total assets of $778 million. In 2024, the Company also acquired six Montana branch locations of the Rocky Mountain Bank division of HTLF Bank with total assets of $403 million. For additional information on the acquisitions, see Note 23 to the Consolidated Financial Statements in “Item 8. Financial Statements and Supplementary Data.”</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Looking forward, the Company believes its future performance will depend on many factors including economic conditions in the markets the Company serves, interest rate changes, the level of competition for deposits and loans, loan quality and the ability to increase loans, the impact and successful integration of acquisitions, and managing regulatory requirements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6"/>
        </w:trPr>
        <w:tc>
          <w:tcPr>
            <w:tcW w:w="7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Highlights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3"/>
          </w:tcPr>
          <w:p>
            <w:pPr>
              <w:jc w:val="right"/>
              <w:ind w:right="929"/>
              <w:spacing w:after="0"/>
              <w:rPr>
                <w:sz w:val="20"/>
                <w:szCs w:val="20"/>
                <w:color w:val="auto"/>
              </w:rPr>
            </w:pPr>
            <w:r>
              <w:rPr>
                <w:rFonts w:ascii="Times New Roman" w:cs="Times New Roman" w:eastAsia="Times New Roman" w:hAnsi="Times New Roman"/>
                <w:sz w:val="14"/>
                <w:szCs w:val="14"/>
                <w:color w:val="auto"/>
              </w:rPr>
              <w:t>At or for the Years ended</w:t>
            </w: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66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 except per share and market data)</w:t>
            </w:r>
          </w:p>
        </w:tc>
        <w:tc>
          <w:tcPr>
            <w:tcW w:w="260" w:type="dxa"/>
            <w:vAlign w:val="bottom"/>
          </w:tcPr>
          <w:p>
            <w:pPr>
              <w:spacing w:after="0"/>
              <w:rPr>
                <w:sz w:val="12"/>
                <w:szCs w:val="12"/>
                <w:color w:val="auto"/>
              </w:rPr>
            </w:pPr>
          </w:p>
        </w:tc>
        <w:tc>
          <w:tcPr>
            <w:tcW w:w="140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660" w:type="dxa"/>
            <w:vAlign w:val="bottom"/>
          </w:tcPr>
          <w:p>
            <w:pPr>
              <w:jc w:val="right"/>
              <w:ind w:right="609"/>
              <w:spacing w:after="0" w:line="149" w:lineRule="exact"/>
              <w:rPr>
                <w:sz w:val="20"/>
                <w:szCs w:val="20"/>
                <w:color w:val="auto"/>
              </w:rPr>
            </w:pPr>
            <w:r>
              <w:rPr>
                <w:rFonts w:ascii="Times New Roman" w:cs="Times New Roman" w:eastAsia="Times New Roman" w:hAnsi="Times New Roman"/>
                <w:sz w:val="14"/>
                <w:szCs w:val="14"/>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54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results</w:t>
            </w: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190,144</w:t>
            </w:r>
          </w:p>
        </w:tc>
        <w:tc>
          <w:tcPr>
            <w:tcW w:w="100" w:type="dxa"/>
            <w:vAlign w:val="bottom"/>
          </w:tcPr>
          <w:p>
            <w:pPr>
              <w:spacing w:after="0"/>
              <w:rPr>
                <w:sz w:val="15"/>
                <w:szCs w:val="15"/>
                <w:color w:val="auto"/>
              </w:rPr>
            </w:pP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222,927</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2.01</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2.01</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20" w:type="dxa"/>
            <w:vAlign w:val="bottom"/>
          </w:tcPr>
          <w:p>
            <w:pPr>
              <w:spacing w:after="0"/>
              <w:rPr>
                <w:sz w:val="15"/>
                <w:szCs w:val="15"/>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value per share</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Closing</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50.22</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41.32</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High</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tcPr>
          <w:p>
            <w:pPr>
              <w:spacing w:after="0"/>
              <w:rPr>
                <w:sz w:val="15"/>
                <w:szCs w:val="15"/>
                <w:color w:val="auto"/>
              </w:rPr>
            </w:pP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50.03</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Low</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26.77</w:t>
            </w:r>
          </w:p>
        </w:tc>
      </w:tr>
      <w:tr>
        <w:trPr>
          <w:trHeight w:val="180"/>
        </w:trPr>
        <w:tc>
          <w:tcPr>
            <w:tcW w:w="20" w:type="dxa"/>
            <w:vAlign w:val="bottom"/>
          </w:tcPr>
          <w:p>
            <w:pPr>
              <w:spacing w:after="0"/>
              <w:rPr>
                <w:sz w:val="15"/>
                <w:szCs w:val="15"/>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Selected ratios and other data</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common stock shares outstanding</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113,401,955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110,888,942</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Average outstanding shares - basic</w:t>
            </w:r>
          </w:p>
        </w:tc>
        <w:tc>
          <w:tcPr>
            <w:tcW w:w="260" w:type="dxa"/>
            <w:vAlign w:val="bottom"/>
          </w:tcPr>
          <w:p>
            <w:pPr>
              <w:spacing w:after="0"/>
              <w:rPr>
                <w:sz w:val="15"/>
                <w:szCs w:val="15"/>
                <w:color w:val="auto"/>
              </w:rPr>
            </w:pP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113,170,157</w:t>
            </w:r>
          </w:p>
        </w:tc>
        <w:tc>
          <w:tcPr>
            <w:tcW w:w="100" w:type="dxa"/>
            <w:vAlign w:val="bottom"/>
          </w:tcPr>
          <w:p>
            <w:pPr>
              <w:spacing w:after="0"/>
              <w:rPr>
                <w:sz w:val="15"/>
                <w:szCs w:val="15"/>
                <w:color w:val="auto"/>
              </w:rPr>
            </w:pPr>
          </w:p>
        </w:tc>
        <w:tc>
          <w:tcPr>
            <w:tcW w:w="1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110,864,501</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Average outstanding shares - diluted</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113,243,427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110,890,447</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Return on average assets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0.81 %</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Return on average equity</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7.64 %</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Efficiency ratio</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62.85 %</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 payout ratio</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78.57 %</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65.67 %</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Loan to deposit ratio</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84.17 %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81.36 %</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full time equivalent employees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3,294</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Number of locations</w:t>
            </w:r>
          </w:p>
        </w:tc>
        <w:tc>
          <w:tcPr>
            <w:tcW w:w="260" w:type="dxa"/>
            <w:vAlign w:val="bottom"/>
          </w:tcPr>
          <w:p>
            <w:pPr>
              <w:spacing w:after="0"/>
              <w:rPr>
                <w:sz w:val="15"/>
                <w:szCs w:val="15"/>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221</w:t>
            </w: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ATMs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275</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 Condition Analysis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46"/>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4"/>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assets as of the dates indicated: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Pr>
          <w:p>
            <w:pPr>
              <w:spacing w:after="0"/>
              <w:rPr>
                <w:sz w:val="13"/>
                <w:szCs w:val="13"/>
                <w:color w:val="auto"/>
              </w:rPr>
            </w:pPr>
          </w:p>
        </w:tc>
        <w:tc>
          <w:tcPr>
            <w:tcW w:w="142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Pr>
          <w:p>
            <w:pPr>
              <w:spacing w:after="0"/>
              <w:rPr>
                <w:sz w:val="13"/>
                <w:szCs w:val="13"/>
                <w:color w:val="auto"/>
              </w:rPr>
            </w:pPr>
          </w:p>
        </w:tc>
        <w:tc>
          <w:tcPr>
            <w:tcW w:w="1180" w:type="dxa"/>
            <w:vAlign w:val="bottom"/>
          </w:tcPr>
          <w:p>
            <w:pPr>
              <w:jc w:val="right"/>
              <w:ind w:right="389"/>
              <w:spacing w:after="0" w:line="140"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3"/>
                <w:szCs w:val="13"/>
                <w:color w:val="auto"/>
              </w:rPr>
            </w:pPr>
          </w:p>
        </w:tc>
        <w:tc>
          <w:tcPr>
            <w:tcW w:w="1200" w:type="dxa"/>
            <w:vAlign w:val="bottom"/>
          </w:tcPr>
          <w:p>
            <w:pPr>
              <w:jc w:val="right"/>
              <w:ind w:right="229"/>
              <w:spacing w:after="0" w:line="140"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(505,934)</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0"/>
        </w:trPr>
        <w:tc>
          <w:tcPr>
            <w:tcW w:w="20" w:type="dxa"/>
            <w:vAlign w:val="bottom"/>
          </w:tcPr>
          <w:p>
            <w:pPr>
              <w:spacing w:after="0"/>
              <w:rPr>
                <w:sz w:val="15"/>
                <w:szCs w:val="15"/>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4,785,719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(540,514)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8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3,502,411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71"/>
        </w:trPr>
        <w:tc>
          <w:tcPr>
            <w:tcW w:w="2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debt securities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7,540,052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8,288,130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receivable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real estate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1,704,544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real estate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10,303,306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660,407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commercial</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2,901,863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Home equity</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888,013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Other consumer</w:t>
            </w: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388,678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400,356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71"/>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Loans receivable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16,198,082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1,063,767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(192,757)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(13,284)</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71"/>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Loans receivable, net</w:t>
            </w:r>
          </w:p>
        </w:tc>
        <w:tc>
          <w:tcPr>
            <w:tcW w:w="8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16,005,325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1,050,483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71"/>
        </w:trPr>
        <w:tc>
          <w:tcPr>
            <w:tcW w:w="20" w:type="dxa"/>
            <w:vAlign w:val="bottom"/>
            <w:tcBorders>
              <w:bottom w:val="single" w:sz="8" w:color="CCEEFF"/>
            </w:tcBorders>
          </w:tcPr>
          <w:p>
            <w:pPr>
              <w:spacing w:after="0"/>
              <w:rPr>
                <w:sz w:val="14"/>
                <w:szCs w:val="14"/>
                <w:color w:val="auto"/>
              </w:rPr>
            </w:pPr>
          </w:p>
        </w:tc>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2,458,719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2,094,832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363,887</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27,902,987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27,742,629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160,358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cash of $848 million at December 31, 2024 decreased $506 million, or 37 percent, from the prior year end as excess liquidity was used to fund loan growth and pay down certain borrowings. Total debt securities of $7.540 billion at December 31, 2024 decreased $748 million, or 9 percent, from the prior year end. Debt securities represented 27 percent of total assets at December 31, 2024 compared to 30 percent at December 31, 2023.</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loan portfolio of $17.262 billion at December 31, 2024 increased $1.064 billion, or 7 percent, from the prior year end. Excluding the RMB and Wheatland acquisitions, the loan portfolio increased $342 million, or 2 percent, during 2024. Excluding the acquisitions, the loan category with the largest dollar increase during 2024 was commercial real estate which increased $234 million, or 2 percent, from the prior year end.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liabilities as of the dates indicated:</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Pr>
          <w:p>
            <w:pPr>
              <w:spacing w:after="0"/>
              <w:rPr>
                <w:sz w:val="14"/>
                <w:szCs w:val="14"/>
                <w:color w:val="auto"/>
              </w:rPr>
            </w:pPr>
          </w:p>
        </w:tc>
        <w:tc>
          <w:tcPr>
            <w:tcW w:w="14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Pr>
          <w:p>
            <w:pPr>
              <w:spacing w:after="0"/>
              <w:rPr>
                <w:sz w:val="14"/>
                <w:szCs w:val="14"/>
                <w:color w:val="auto"/>
              </w:rPr>
            </w:pPr>
          </w:p>
        </w:tc>
        <w:tc>
          <w:tcPr>
            <w:tcW w:w="14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December 31, 2023</w:t>
            </w:r>
          </w:p>
        </w:tc>
        <w:tc>
          <w:tcPr>
            <w:tcW w:w="280" w:type="dxa"/>
            <w:vAlign w:val="bottom"/>
          </w:tcPr>
          <w:p>
            <w:pPr>
              <w:spacing w:after="0"/>
              <w:rPr>
                <w:sz w:val="14"/>
                <w:szCs w:val="14"/>
                <w:color w:val="auto"/>
              </w:rPr>
            </w:pPr>
          </w:p>
        </w:tc>
        <w:tc>
          <w:tcPr>
            <w:tcW w:w="116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4"/>
                <w:szCs w:val="14"/>
                <w:color w:val="auto"/>
              </w:rPr>
            </w:pPr>
          </w:p>
        </w:tc>
        <w:tc>
          <w:tcPr>
            <w:tcW w:w="1600" w:type="dxa"/>
            <w:vAlign w:val="bottom"/>
          </w:tcPr>
          <w:p>
            <w:pPr>
              <w:jc w:val="right"/>
              <w:ind w:right="449"/>
              <w:spacing w:after="0" w:line="149"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6,136,709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6,022,980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113,729</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NOW and DDA accounts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5,543,512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5,321,257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222,255</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20" w:type="dxa"/>
            <w:vAlign w:val="bottom"/>
          </w:tcPr>
          <w:p>
            <w:pPr>
              <w:spacing w:after="0"/>
              <w:rPr>
                <w:sz w:val="15"/>
                <w:szCs w:val="15"/>
                <w:color w:val="auto"/>
              </w:rPr>
            </w:pPr>
          </w:p>
        </w:tc>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Savings accounts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2,845,124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2,833,887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100" w:type="dxa"/>
            <w:vAlign w:val="bottom"/>
          </w:tcPr>
          <w:p>
            <w:pPr>
              <w:spacing w:after="0"/>
              <w:rPr>
                <w:sz w:val="15"/>
                <w:szCs w:val="15"/>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Money market deposit accounts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2,878,213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2,831,624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46,589</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Certificate accounts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3,139,821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2,915,393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224,428</w:t>
            </w:r>
          </w:p>
        </w:tc>
        <w:tc>
          <w:tcPr>
            <w:tcW w:w="170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8 %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Core deposits, total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20,543,379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19,925,141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618,238</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Wholesale deposits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Deposits, total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20,546,994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19,929,167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617,827</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1,777,475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1,486,850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290,625</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FRB Bank Term Funding</w:t>
            </w: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borrowed funds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Subordinated debentures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338,218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351,693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24,679,133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24,722,348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(43,215)</w:t>
            </w:r>
          </w:p>
        </w:tc>
        <w:tc>
          <w:tcPr>
            <w:tcW w:w="100" w:type="dxa"/>
            <w:vAlign w:val="bottom"/>
          </w:tcPr>
          <w:p>
            <w:pPr>
              <w:spacing w:after="0"/>
              <w:rPr>
                <w:sz w:val="14"/>
                <w:szCs w:val="14"/>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measurable</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deposits of $20.547 billion at December 31, 2024 increased $618 million, or 3 percent, from the prior year end. Excluding the $1.014 billion of deposits from the RMB and Wheatland acquisitions, total deposits decreased $396 million, or 2 percent, from the prior year end and total deposits and repurchase agreements decreased $109 million, or 51 basis points, from the prior year end. Non-interest bearing deposits represented 30 percent of total deposits at December 31, 2024 and December 31, 2023.</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Upon maturity in the first quarter of 2024, the Company paid off its $2.740 billion BTFP borrowings with a combination of $2.140 billion in FHLB borrowings and cash. The Company’s liquidity position remains strong with solid core deposit customer relationships, excess cash, debt securities, and access to diversified borrowing sources. At December, 31, 2024, the Company had available liquidity of $14.3 billion including cash, borrowing capacity from the FHLB, unpledged securities, brokered deposits, and other 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stockholders’ equity balances as of the dates indicated:</w:t>
      </w:r>
    </w:p>
    <w:tbl>
      <w:tblPr>
        <w:tblLayout w:type="fixed"/>
        <w:tblInd w:w="20" w:type="dxa"/>
        <w:tblCellMar>
          <w:top w:w="0" w:type="dxa"/>
          <w:left w:w="0" w:type="dxa"/>
          <w:bottom w:w="0" w:type="dxa"/>
          <w:right w:w="0" w:type="dxa"/>
        </w:tblCellMar>
      </w:tblPr>
      <w:tr>
        <w:trPr>
          <w:trHeight w:val="16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thousands, except per share data)</w:t>
            </w:r>
          </w:p>
        </w:tc>
        <w:tc>
          <w:tcPr>
            <w:tcW w:w="160" w:type="dxa"/>
            <w:vAlign w:val="bottom"/>
          </w:tcPr>
          <w:p>
            <w:pPr>
              <w:spacing w:after="0"/>
              <w:rPr>
                <w:sz w:val="14"/>
                <w:szCs w:val="14"/>
                <w:color w:val="auto"/>
              </w:rPr>
            </w:pPr>
          </w:p>
        </w:tc>
        <w:tc>
          <w:tcPr>
            <w:tcW w:w="1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December 31, 2024</w:t>
            </w:r>
          </w:p>
        </w:tc>
        <w:tc>
          <w:tcPr>
            <w:tcW w:w="140" w:type="dxa"/>
            <w:vAlign w:val="bottom"/>
          </w:tcPr>
          <w:p>
            <w:pPr>
              <w:spacing w:after="0"/>
              <w:rPr>
                <w:sz w:val="14"/>
                <w:szCs w:val="14"/>
                <w:color w:val="auto"/>
              </w:rPr>
            </w:pPr>
          </w:p>
        </w:tc>
        <w:tc>
          <w:tcPr>
            <w:tcW w:w="1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Pr>
          <w:p>
            <w:pPr>
              <w:spacing w:after="0"/>
              <w:rPr>
                <w:sz w:val="14"/>
                <w:szCs w:val="14"/>
                <w:color w:val="auto"/>
              </w:rPr>
            </w:pPr>
          </w:p>
        </w:tc>
        <w:tc>
          <w:tcPr>
            <w:tcW w:w="1140" w:type="dxa"/>
            <w:vAlign w:val="bottom"/>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4"/>
                <w:szCs w:val="14"/>
                <w:color w:val="auto"/>
              </w:rPr>
            </w:pPr>
          </w:p>
        </w:tc>
        <w:tc>
          <w:tcPr>
            <w:tcW w:w="1580" w:type="dxa"/>
            <w:vAlign w:val="bottom"/>
          </w:tcPr>
          <w:p>
            <w:pPr>
              <w:jc w:val="right"/>
              <w:ind w:right="429"/>
              <w:spacing w:after="0" w:line="149" w:lineRule="exact"/>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3,533,150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3,394,394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138,756</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(309,296)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(374,113)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64,817</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3,223,854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3,020,281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203,573</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Goodwill and core deposit intangible, net</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(1,102,500)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(1,017,263)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(85,237)</w:t>
            </w:r>
          </w:p>
        </w:tc>
        <w:tc>
          <w:tcPr>
            <w:tcW w:w="168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Tangible stockholders’ equity</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2,121,354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2,003,018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118,336</w:t>
            </w:r>
          </w:p>
        </w:tc>
        <w:tc>
          <w:tcPr>
            <w:tcW w:w="168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Stockholders’ equity to total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11.55 %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10.89 %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stockholders’ equity to total tangible assets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Book value per common share</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27.24</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80"/>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Tangible stockholders’ equity at December 31, 2024 increased $118 million, or 6 percent, compared to the prior year end and was primarily due to $92.4 million of Company common stock issued for the acquisition of Wheatland and a decrease of $67.9 million in unrealized loss on the available-for-sale securities portfolio. The increase was partially offset by the increase in goodwill and core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0" w:name="page31"/>
    <w:bookmarkEnd w:id="30"/>
    <w:p>
      <w:pPr>
        <w:jc w:val="both"/>
        <w:spacing w:after="0" w:line="271" w:lineRule="auto"/>
        <w:rPr>
          <w:sz w:val="20"/>
          <w:szCs w:val="20"/>
          <w:color w:val="auto"/>
        </w:rPr>
      </w:pPr>
      <w:r>
        <w:rPr>
          <w:rFonts w:ascii="Times New Roman" w:cs="Times New Roman" w:eastAsia="Times New Roman" w:hAnsi="Times New Roman"/>
          <w:sz w:val="14"/>
          <w:szCs w:val="14"/>
          <w:color w:val="auto"/>
        </w:rPr>
        <w:t>deposits associated with the acquisitions of Wheatland and RMB. Tangible book value per common share of $18.71 at the current year end increased $0.65 per share, or 4 percent, from the prior year end.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this section, the Company’s results of operations are discussed for the year ended December 31, 2024 compared to the year ended December 31, 2023. For a discussion of the year ended December 31, 2023 compared to the year ended December 31, 2022, please refer to Part II, Item 7, "Management's Discussion and Analysis of Financial Condition and Results of Operations" in the Company’s Annual Report on Form 10-K for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Summary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income for the time periods indicated: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Years ended</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320" w:type="dxa"/>
            <w:vAlign w:val="bottom"/>
          </w:tcPr>
          <w:p>
            <w:pPr>
              <w:spacing w:after="0"/>
              <w:rPr>
                <w:sz w:val="11"/>
                <w:szCs w:val="11"/>
                <w:color w:val="auto"/>
              </w:rPr>
            </w:pPr>
          </w:p>
        </w:tc>
        <w:tc>
          <w:tcPr>
            <w:tcW w:w="120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4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2"/>
                <w:szCs w:val="12"/>
                <w:color w:val="auto"/>
              </w:rPr>
            </w:pPr>
          </w:p>
        </w:tc>
        <w:tc>
          <w:tcPr>
            <w:tcW w:w="1320" w:type="dxa"/>
            <w:vAlign w:val="bottom"/>
          </w:tcPr>
          <w:p>
            <w:pPr>
              <w:jc w:val="right"/>
              <w:ind w:right="56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549"/>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2"/>
                <w:szCs w:val="12"/>
                <w:color w:val="auto"/>
              </w:rPr>
            </w:pPr>
          </w:p>
        </w:tc>
        <w:tc>
          <w:tcPr>
            <w:tcW w:w="1580" w:type="dxa"/>
            <w:vAlign w:val="bottom"/>
          </w:tcPr>
          <w:p>
            <w:pPr>
              <w:jc w:val="right"/>
              <w:ind w:right="429"/>
              <w:spacing w:after="0" w:line="129"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0"/>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1,139,850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1,017,655</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122,195</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435,218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325,973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109,245</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34 %</w:t>
            </w:r>
          </w:p>
        </w:tc>
      </w:tr>
      <w:tr>
        <w:trPr>
          <w:trHeight w:val="171"/>
        </w:trPr>
        <w:tc>
          <w:tcPr>
            <w:tcW w:w="20" w:type="dxa"/>
            <w:vAlign w:val="bottom"/>
          </w:tcPr>
          <w:p>
            <w:pPr>
              <w:spacing w:after="0"/>
              <w:rPr>
                <w:sz w:val="14"/>
                <w:szCs w:val="14"/>
                <w:color w:val="auto"/>
              </w:rPr>
            </w:pPr>
          </w:p>
        </w:tc>
        <w:tc>
          <w:tcPr>
            <w:tcW w:w="4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net interest income</w:t>
            </w:r>
          </w:p>
        </w:tc>
        <w:tc>
          <w:tcPr>
            <w:tcW w:w="220" w:type="dxa"/>
            <w:vAlign w:val="bottom"/>
          </w:tcPr>
          <w:p>
            <w:pPr>
              <w:spacing w:after="0"/>
              <w:rPr>
                <w:sz w:val="14"/>
                <w:szCs w:val="14"/>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704,632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691,682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12,950</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Service charges and other fees</w:t>
            </w:r>
          </w:p>
        </w:tc>
        <w:tc>
          <w:tcPr>
            <w:tcW w:w="22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78,894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75,157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Miscellaneous loan fees and charges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18,694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16,935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20" w:type="dxa"/>
            <w:vAlign w:val="bottom"/>
          </w:tcPr>
          <w:p>
            <w:pPr>
              <w:spacing w:after="0"/>
              <w:rPr>
                <w:sz w:val="15"/>
                <w:szCs w:val="15"/>
                <w:color w:val="auto"/>
              </w:rPr>
            </w:pPr>
          </w:p>
        </w:tc>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Gain on sale of loans</w:t>
            </w:r>
          </w:p>
        </w:tc>
        <w:tc>
          <w:tcPr>
            <w:tcW w:w="22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16,855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12,202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38 %</w:t>
            </w:r>
          </w:p>
        </w:tc>
      </w:tr>
      <w:tr>
        <w:trPr>
          <w:trHeight w:val="180"/>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sale of investments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180"/>
        </w:trPr>
        <w:tc>
          <w:tcPr>
            <w:tcW w:w="2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13,973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12,275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68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14 %</w:t>
            </w:r>
          </w:p>
        </w:tc>
      </w:tr>
      <w:tr>
        <w:trPr>
          <w:trHeight w:val="171"/>
        </w:trPr>
        <w:tc>
          <w:tcPr>
            <w:tcW w:w="20" w:type="dxa"/>
            <w:vAlign w:val="bottom"/>
            <w:shd w:val="clear" w:color="auto" w:fill="CCEEFF"/>
          </w:tcPr>
          <w:p>
            <w:pPr>
              <w:spacing w:after="0"/>
              <w:rPr>
                <w:sz w:val="14"/>
                <w:szCs w:val="14"/>
                <w:color w:val="auto"/>
              </w:rPr>
            </w:pPr>
          </w:p>
        </w:tc>
        <w:tc>
          <w:tcPr>
            <w:tcW w:w="4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128,446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118,079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9 %</w:t>
            </w:r>
          </w:p>
        </w:tc>
      </w:tr>
      <w:tr>
        <w:trPr>
          <w:trHeight w:val="171"/>
        </w:trPr>
        <w:tc>
          <w:tcPr>
            <w:tcW w:w="20" w:type="dxa"/>
            <w:vAlign w:val="bottom"/>
          </w:tcPr>
          <w:p>
            <w:pPr>
              <w:spacing w:after="0"/>
              <w:rPr>
                <w:sz w:val="14"/>
                <w:szCs w:val="14"/>
                <w:color w:val="auto"/>
              </w:rPr>
            </w:pPr>
          </w:p>
        </w:tc>
        <w:tc>
          <w:tcPr>
            <w:tcW w:w="4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income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833,078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809,761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23,317</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3 %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8"/>
        </w:trPr>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margin (tax-equivalent)</w:t>
            </w: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interest income of $705 million for 2024 increased $13.0 million, or 2 percent, over 2023 and was primarily driven by increased interest income which outpaced the increase in interest expense. Interest income of $1.140 billion for 2024 increased $122 million, or 12 percent, from the prior year and was primarily attributable to the increases in the loan yields and the average balance of the loan portfolio. The loan yield was 5.61 percent for 2024, an increase of 42 basis points from the prior year loan yield of 5.19 percent.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expense of $435 million for 2024 increased $109 million, or 34 percent, over the prior year and was primarily the result of higher interest rates on deposits and an increase in deposit balances. Core deposit cost (including non-interest bearing deposits) was 1.34 percent for 2024 compared to 0.77 percent for the prior year. The total funding cost (including non-interest bearing deposits) for 2024 was 1.79 percent, which was an increase of 44 basis points over the prior year funding cost of 1.35 percent.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net interest margin as a percentage of earning assets, on a tax-equivalent basis, during 2024 was 2.77 percent, a 4 basis points increase from the net interest margin of 2.73 percent for the prior year. Excluding the 4 basis points from discount accretion and the 1 basis point from non-accrual interest, the core net interest margin was 2.72 percent in the current year compared to 2.71 percent in the prior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p>
      <w:pPr>
        <w:spacing w:after="0" w:line="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Non-interest income of $128 million for 2024 increased $10.4 million, or 9 percent, over the prior year. Gain on sale of residential loans of $16.9 million for 2024 increased by $4.7 million, or 38 percent, over the prior year, pimarily due to the increase in volume of loans sold. Other income of $14.0 million for 2024 increased $1.7 million, or 14 percent, over the same period last year and was primarily driven by a $1.2 million gain on the sale of repossessed property during the current year. Included in the 2023 gain on sale of securities was $1.7 million of gain on the sale of all of the Company’s Visa class B shares.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non-interest expense for the periods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Years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300" w:type="dxa"/>
            <w:vAlign w:val="bottom"/>
          </w:tcPr>
          <w:p>
            <w:pPr>
              <w:spacing w:after="0"/>
              <w:rPr>
                <w:sz w:val="11"/>
                <w:szCs w:val="11"/>
                <w:color w:val="auto"/>
              </w:rPr>
            </w:pPr>
          </w:p>
        </w:tc>
        <w:tc>
          <w:tcPr>
            <w:tcW w:w="112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89"/>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389"/>
              <w:spacing w:after="0" w:line="129" w:lineRule="exact"/>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2"/>
                <w:szCs w:val="12"/>
                <w:color w:val="auto"/>
              </w:rPr>
            </w:pPr>
          </w:p>
        </w:tc>
        <w:tc>
          <w:tcPr>
            <w:tcW w:w="162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27,858</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Occupancy and equipment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Advertising and promotions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processing</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 and foreclosed assets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Regulatory assessments and insurance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Core deposit intangibles amortization</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86,988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17,332</w:t>
            </w:r>
          </w:p>
        </w:tc>
        <w:tc>
          <w:tcPr>
            <w:tcW w:w="170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578,468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527,358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51,110</w:t>
            </w:r>
          </w:p>
        </w:tc>
        <w:tc>
          <w:tcPr>
            <w:tcW w:w="170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Total non-interest expense of $578 million for 2024 increased $51.1 million, or 10 percent, over the prior year. Compensation and employee benefits expense of $337 million in 2024 increased $27.9 million, or 9 percent, over the prior year and was primarily driven by annual salary increases, increases in performance-related compensation and the acquisitions of Wheatland and RMB. Regulatory assessments and insurance expense of $24.2 million for 2024 decreased $4.5 million, or 16 percent, over the prior year which was principally due to the prior year $6.0 million expense related to the FDIC special assessment which had subsequent $1.0 million accrual adjustment increases in 2024. Other expenses of $104 million for 2024 increased $17.3 million, or 20 percent, from the prior year and was primarily driven by an increase of $8.6 million of acquisition-related expenses and increased costs from the acquisitions of Wheatland and RMB. The increase was partially offset by gains of $5.1 million from the sale of former branch facilities and disposal of fixed assets.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provision for credit losses on the loan portfolio, net charge-offs and select ratios relating to the provision for credit losses on loans for the previous eight quarters: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Accruing</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9"/>
              </w:rPr>
              <w:t>Loans 30-89</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Provision</w:t>
            </w:r>
          </w:p>
        </w:tc>
        <w:tc>
          <w:tcPr>
            <w:tcW w:w="16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Net Charge-Offs</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ACL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Days Past Due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Non-Performing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for Credit Losses on</w:t>
            </w: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as a Percent</w:t>
            </w:r>
          </w:p>
        </w:tc>
        <w:tc>
          <w:tcPr>
            <w:tcW w:w="16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9"/>
              </w:rPr>
              <w:t>as a Percent of</w:t>
            </w:r>
          </w:p>
        </w:tc>
        <w:tc>
          <w:tcPr>
            <w:tcW w:w="15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Assets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Loans</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Loans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Total Sub-sidiary Assets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quarter 2024</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quarter 2024</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 2023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quarter 2023</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quarter 2023</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provision for credit loss expense was $28.3 million for 2024, an increase of $13.5 million, or 91 percent, over the prior year and was primarily attributable to $9.7 million from the acquisitions of Wheatland and RMB. Net charge-offs for 2024 were $13.9 million compared to $10.3 million in the prior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Efficiency Ratio</w:t>
      </w: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efficiency ratio was 66.71 percent for 2024 compared to 62.85 percent for 2023. The increase from the prior year was primarily attributable to increased non-interest expense, including costs associated with the acquisitions of Wheatland and RMB, which outpaced the increase in net interest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ADDITIONAL MANAGEMENT’S DISCUSSION AND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Activity</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Company’s investment securities primarily consist of debt securities classified as either available-for-sale or held-to-maturity. Non-marketable equity securities primarily consist of capital stock issued by the FHLB of Des Moines.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Securities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Debt securities classified as available-for-sale are carried at estimated fair value and debt securities classified as held-to-maturity are carried at amortized cost. Unrealized gains or losses, net of tax, on available-for-sale debt securities are reflected as an adjustment to other comprehensive income. The Company’s debt securities are summarized below:</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color w:val="auto"/>
                <w:w w:val="97"/>
              </w:rPr>
              <w:t>December 31, 2024</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color w:val="auto"/>
                <w:w w:val="97"/>
              </w:rPr>
              <w:t>December 31, 2023</w:t>
            </w:r>
          </w:p>
        </w:tc>
        <w:tc>
          <w:tcPr>
            <w:tcW w:w="68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63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Pr>
          <w:p>
            <w:pPr>
              <w:spacing w:after="0"/>
              <w:rPr>
                <w:sz w:val="10"/>
                <w:szCs w:val="10"/>
                <w:color w:val="auto"/>
              </w:rPr>
            </w:pPr>
          </w:p>
        </w:tc>
        <w:tc>
          <w:tcPr>
            <w:tcW w:w="1540" w:type="dxa"/>
            <w:vAlign w:val="bottom"/>
            <w:gridSpan w:val="3"/>
          </w:tcPr>
          <w:p>
            <w:pPr>
              <w:ind w:left="60"/>
              <w:spacing w:after="0" w:line="107" w:lineRule="exact"/>
              <w:rPr>
                <w:sz w:val="20"/>
                <w:szCs w:val="20"/>
                <w:color w:val="auto"/>
              </w:rPr>
            </w:pPr>
            <w:r>
              <w:rPr>
                <w:rFonts w:ascii="Times New Roman" w:cs="Times New Roman" w:eastAsia="Times New Roman" w:hAnsi="Times New Roman"/>
                <w:sz w:val="12"/>
                <w:szCs w:val="12"/>
                <w:color w:val="auto"/>
              </w:rPr>
              <w:t>Carrying Amount</w:t>
            </w:r>
          </w:p>
        </w:tc>
        <w:tc>
          <w:tcPr>
            <w:tcW w:w="660" w:type="dxa"/>
            <w:vAlign w:val="bottom"/>
          </w:tcPr>
          <w:p>
            <w:pPr>
              <w:jc w:val="right"/>
              <w:ind w:right="217"/>
              <w:spacing w:after="0" w:line="107" w:lineRule="exact"/>
              <w:rPr>
                <w:sz w:val="20"/>
                <w:szCs w:val="20"/>
                <w:color w:val="auto"/>
              </w:rPr>
            </w:pPr>
            <w:r>
              <w:rPr>
                <w:rFonts w:ascii="Times New Roman" w:cs="Times New Roman" w:eastAsia="Times New Roman" w:hAnsi="Times New Roman"/>
                <w:sz w:val="12"/>
                <w:szCs w:val="12"/>
                <w:color w:val="auto"/>
                <w:w w:val="99"/>
              </w:rPr>
              <w:t>Percent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3"/>
          </w:tcPr>
          <w:p>
            <w:pPr>
              <w:ind w:left="60"/>
              <w:spacing w:after="0" w:line="107" w:lineRule="exact"/>
              <w:rPr>
                <w:sz w:val="20"/>
                <w:szCs w:val="20"/>
                <w:color w:val="auto"/>
              </w:rPr>
            </w:pPr>
            <w:r>
              <w:rPr>
                <w:rFonts w:ascii="Times New Roman" w:cs="Times New Roman" w:eastAsia="Times New Roman" w:hAnsi="Times New Roman"/>
                <w:sz w:val="12"/>
                <w:szCs w:val="12"/>
                <w:color w:val="auto"/>
              </w:rPr>
              <w:t>Carrying Amount</w:t>
            </w:r>
          </w:p>
        </w:tc>
        <w:tc>
          <w:tcPr>
            <w:tcW w:w="680" w:type="dxa"/>
            <w:vAlign w:val="bottom"/>
          </w:tcPr>
          <w:p>
            <w:pPr>
              <w:jc w:val="right"/>
              <w:ind w:right="217"/>
              <w:spacing w:after="0" w:line="107" w:lineRule="exact"/>
              <w:rPr>
                <w:sz w:val="20"/>
                <w:szCs w:val="20"/>
                <w:color w:val="auto"/>
              </w:rPr>
            </w:pPr>
            <w:r>
              <w:rPr>
                <w:rFonts w:ascii="Times New Roman" w:cs="Times New Roman" w:eastAsia="Times New Roman" w:hAnsi="Times New Roman"/>
                <w:sz w:val="12"/>
                <w:szCs w:val="12"/>
                <w:color w:val="auto"/>
              </w:rPr>
              <w:t>Percent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634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Available-for-sale</w:t>
            </w: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 government and federal agency</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468,433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2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455,347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U.S. government sponsored enterprises</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299,219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State and local governments</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Residential mortgage-backed securities</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2,355,516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2,811,263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mortgage-backed securities</w:t>
            </w: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1,027,919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1,094,705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58"/>
        </w:trPr>
        <w:tc>
          <w:tcPr>
            <w:tcW w:w="20" w:type="dxa"/>
            <w:vAlign w:val="bottom"/>
          </w:tcPr>
          <w:p>
            <w:pPr>
              <w:spacing w:after="0"/>
              <w:rPr>
                <w:sz w:val="13"/>
                <w:szCs w:val="13"/>
                <w:color w:val="auto"/>
              </w:rPr>
            </w:pPr>
          </w:p>
        </w:tc>
        <w:tc>
          <w:tcPr>
            <w:tcW w:w="63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available-for-sale</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4,245,205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4,785,719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58 %</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Held-to-maturity</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 government and federal agency</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859,432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853,273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State and local governments</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1,619,850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68"/>
        </w:trPr>
        <w:tc>
          <w:tcPr>
            <w:tcW w:w="2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Residential mortgage-backed securities</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815,565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999,138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63"/>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held-to-maturity</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3,294,847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3,502,411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170"/>
        </w:trPr>
        <w:tc>
          <w:tcPr>
            <w:tcW w:w="20" w:type="dxa"/>
            <w:vAlign w:val="bottom"/>
          </w:tcPr>
          <w:p>
            <w:pPr>
              <w:spacing w:after="0"/>
              <w:rPr>
                <w:sz w:val="14"/>
                <w:szCs w:val="14"/>
                <w:color w:val="auto"/>
              </w:rPr>
            </w:pPr>
          </w:p>
        </w:tc>
        <w:tc>
          <w:tcPr>
            <w:tcW w:w="63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debt securities</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7,540,052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8,288,130</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w:t>
      </w:r>
    </w:p>
    <w:p>
      <w:pPr>
        <w:spacing w:after="0" w:line="3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Nationally Recognized Statistical Rating Organizations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w:t>
      </w:r>
    </w:p>
    <w:p>
      <w:pPr>
        <w:spacing w:after="0" w:line="16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following table stratifies the state and local government securities by the associated NRSRO ratings. The highest issued rating was used to categorize the securities in the table for those securities where the NRSRO ratings were not at the same level.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color w:val="auto"/>
              </w:rPr>
              <w:t>December 31, 2024</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December 31, 2023</w:t>
            </w:r>
          </w:p>
        </w:tc>
        <w:tc>
          <w:tcPr>
            <w:tcW w:w="9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tcPr>
          <w:p>
            <w:pPr>
              <w:jc w:val="center"/>
              <w:ind w:right="88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20" w:type="dxa"/>
            <w:vAlign w:val="bottom"/>
          </w:tcPr>
          <w:p>
            <w:pPr>
              <w:jc w:val="center"/>
              <w:ind w:right="489"/>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80" w:type="dxa"/>
            <w:vAlign w:val="bottom"/>
          </w:tcPr>
          <w:p>
            <w:pPr>
              <w:spacing w:after="0"/>
              <w:rPr>
                <w:sz w:val="11"/>
                <w:szCs w:val="11"/>
                <w:color w:val="auto"/>
              </w:rPr>
            </w:pPr>
          </w:p>
        </w:tc>
        <w:tc>
          <w:tcPr>
            <w:tcW w:w="2100" w:type="dxa"/>
            <w:vAlign w:val="bottom"/>
            <w:gridSpan w:val="3"/>
          </w:tcPr>
          <w:p>
            <w:pPr>
              <w:jc w:val="center"/>
              <w:ind w:right="64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20" w:type="dxa"/>
            <w:vAlign w:val="bottom"/>
          </w:tcPr>
          <w:p>
            <w:pPr>
              <w:jc w:val="right"/>
              <w:ind w:right="549"/>
              <w:spacing w:after="0" w:line="129" w:lineRule="exact"/>
              <w:rPr>
                <w:sz w:val="20"/>
                <w:szCs w:val="20"/>
                <w:color w:val="auto"/>
              </w:rPr>
            </w:pPr>
            <w:r>
              <w:rPr>
                <w:rFonts w:ascii="Times New Roman" w:cs="Times New Roman" w:eastAsia="Times New Roman" w:hAnsi="Times New Roman"/>
                <w:sz w:val="14"/>
                <w:szCs w:val="14"/>
                <w:color w:val="auto"/>
              </w:rPr>
              <w:t>Fair</w:t>
            </w:r>
          </w:p>
        </w:tc>
      </w:tr>
      <w:tr>
        <w:trPr>
          <w:trHeight w:val="14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84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10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210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92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w w:val="95"/>
              </w:rPr>
              <w:t>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1"/>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AAA / Moody’s: Aaa</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429,267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379,793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446,206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402,932</w:t>
            </w:r>
          </w:p>
        </w:tc>
      </w:tr>
      <w:tr>
        <w:trPr>
          <w:trHeight w:val="18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S&amp;P: AA+, AA, AA- / Moody’s: Aa1, Aa2, Aa3</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1,207,309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1,046,083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1,244,344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1,107,064</w:t>
            </w:r>
          </w:p>
        </w:tc>
      </w:tr>
      <w:tr>
        <w:trPr>
          <w:trHeight w:val="18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A+, A, A- / Moody’s: A1, A2, A3</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55,101</w:t>
            </w:r>
          </w:p>
        </w:tc>
      </w:tr>
      <w:tr>
        <w:trPr>
          <w:trHeight w:val="180"/>
        </w:trPr>
        <w:tc>
          <w:tcPr>
            <w:tcW w:w="5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Not rated by either entity</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1,691,587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1,479,838</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1,751,903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1,570,583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State and local government securities largely consist of both taxable and tax-exempt general obligation and revenue bonds. The following table stratifies the state and local government securities by the associated security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color w:val="auto"/>
              </w:rPr>
              <w:t>December 31, 2024</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December 31, 2023</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tcPr>
          <w:p>
            <w:pPr>
              <w:jc w:val="center"/>
              <w:ind w:right="88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20" w:type="dxa"/>
            <w:vAlign w:val="bottom"/>
          </w:tcPr>
          <w:p>
            <w:pPr>
              <w:jc w:val="center"/>
              <w:ind w:right="489"/>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80" w:type="dxa"/>
            <w:vAlign w:val="bottom"/>
          </w:tcPr>
          <w:p>
            <w:pPr>
              <w:spacing w:after="0"/>
              <w:rPr>
                <w:sz w:val="11"/>
                <w:szCs w:val="11"/>
                <w:color w:val="auto"/>
              </w:rPr>
            </w:pPr>
          </w:p>
        </w:tc>
        <w:tc>
          <w:tcPr>
            <w:tcW w:w="2100" w:type="dxa"/>
            <w:vAlign w:val="bottom"/>
            <w:gridSpan w:val="3"/>
          </w:tcPr>
          <w:p>
            <w:pPr>
              <w:jc w:val="center"/>
              <w:ind w:right="64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920" w:type="dxa"/>
            <w:vAlign w:val="bottom"/>
          </w:tcPr>
          <w:p>
            <w:pPr>
              <w:jc w:val="center"/>
              <w:ind w:right="489"/>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2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84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10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210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Cost</w:t>
            </w:r>
          </w:p>
        </w:tc>
        <w:tc>
          <w:tcPr>
            <w:tcW w:w="9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w w:val="95"/>
              </w:rPr>
              <w:t>Value</w:t>
            </w:r>
          </w:p>
        </w:tc>
      </w:tr>
      <w:tr>
        <w:trPr>
          <w:trHeight w:val="22"/>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obligation - unlimited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348,129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322,414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383,400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361,728</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obligation - limited</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172,537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151,445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183,078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165,993</w:t>
            </w:r>
          </w:p>
        </w:tc>
        <w:tc>
          <w:tcPr>
            <w:tcW w:w="20" w:type="dxa"/>
            <w:vAlign w:val="bottom"/>
          </w:tcPr>
          <w:p>
            <w:pPr>
              <w:spacing w:after="0"/>
              <w:rPr>
                <w:sz w:val="15"/>
                <w:szCs w:val="15"/>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974,076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1,146,341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1,006,088</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 of participation</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35,443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34,144</w:t>
            </w:r>
          </w:p>
        </w:tc>
        <w:tc>
          <w:tcPr>
            <w:tcW w:w="20" w:type="dxa"/>
            <w:vAlign w:val="bottom"/>
          </w:tcPr>
          <w:p>
            <w:pPr>
              <w:spacing w:after="0"/>
              <w:rPr>
                <w:sz w:val="15"/>
                <w:szCs w:val="15"/>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1,691,587</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1,479,838</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1,751,903</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1,570,583</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82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outlines the five states in which the Company owns the highest concentrations of state and local government securities.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color w:val="auto"/>
              </w:rPr>
              <w:t>December 31, 2024</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December 31, 2023</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35"/>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tcPr>
          <w:p>
            <w:pPr>
              <w:jc w:val="center"/>
              <w:ind w:right="880"/>
              <w:spacing w:after="0" w:line="135" w:lineRule="exact"/>
              <w:rPr>
                <w:sz w:val="20"/>
                <w:szCs w:val="20"/>
                <w:color w:val="auto"/>
              </w:rPr>
            </w:pPr>
            <w:r>
              <w:rPr>
                <w:rFonts w:ascii="Times New Roman" w:cs="Times New Roman" w:eastAsia="Times New Roman" w:hAnsi="Times New Roman"/>
                <w:sz w:val="14"/>
                <w:szCs w:val="14"/>
                <w:color w:val="auto"/>
              </w:rPr>
              <w:t>Amortized</w:t>
            </w:r>
          </w:p>
        </w:tc>
        <w:tc>
          <w:tcPr>
            <w:tcW w:w="920" w:type="dxa"/>
            <w:vAlign w:val="bottom"/>
          </w:tcPr>
          <w:p>
            <w:pPr>
              <w:jc w:val="center"/>
              <w:ind w:right="489"/>
              <w:spacing w:after="0" w:line="135" w:lineRule="exact"/>
              <w:rPr>
                <w:sz w:val="20"/>
                <w:szCs w:val="20"/>
                <w:color w:val="auto"/>
              </w:rPr>
            </w:pPr>
            <w:r>
              <w:rPr>
                <w:rFonts w:ascii="Times New Roman" w:cs="Times New Roman" w:eastAsia="Times New Roman" w:hAnsi="Times New Roman"/>
                <w:sz w:val="14"/>
                <w:szCs w:val="14"/>
                <w:color w:val="auto"/>
              </w:rPr>
              <w:t>Fair</w:t>
            </w:r>
          </w:p>
        </w:tc>
        <w:tc>
          <w:tcPr>
            <w:tcW w:w="80" w:type="dxa"/>
            <w:vAlign w:val="bottom"/>
          </w:tcPr>
          <w:p>
            <w:pPr>
              <w:spacing w:after="0"/>
              <w:rPr>
                <w:sz w:val="11"/>
                <w:szCs w:val="11"/>
                <w:color w:val="auto"/>
              </w:rPr>
            </w:pPr>
          </w:p>
        </w:tc>
        <w:tc>
          <w:tcPr>
            <w:tcW w:w="2100" w:type="dxa"/>
            <w:vAlign w:val="bottom"/>
            <w:gridSpan w:val="3"/>
          </w:tcPr>
          <w:p>
            <w:pPr>
              <w:jc w:val="center"/>
              <w:ind w:right="640"/>
              <w:spacing w:after="0" w:line="135" w:lineRule="exact"/>
              <w:rPr>
                <w:sz w:val="20"/>
                <w:szCs w:val="20"/>
                <w:color w:val="auto"/>
              </w:rPr>
            </w:pPr>
            <w:r>
              <w:rPr>
                <w:rFonts w:ascii="Times New Roman" w:cs="Times New Roman" w:eastAsia="Times New Roman" w:hAnsi="Times New Roman"/>
                <w:sz w:val="14"/>
                <w:szCs w:val="14"/>
                <w:color w:val="auto"/>
              </w:rPr>
              <w:t>Amortized</w:t>
            </w:r>
          </w:p>
        </w:tc>
        <w:tc>
          <w:tcPr>
            <w:tcW w:w="920" w:type="dxa"/>
            <w:vAlign w:val="bottom"/>
          </w:tcPr>
          <w:p>
            <w:pPr>
              <w:jc w:val="center"/>
              <w:ind w:right="489"/>
              <w:spacing w:after="0" w:line="135" w:lineRule="exact"/>
              <w:rPr>
                <w:sz w:val="20"/>
                <w:szCs w:val="20"/>
                <w:color w:val="auto"/>
              </w:rPr>
            </w:pPr>
            <w:r>
              <w:rPr>
                <w:rFonts w:ascii="Times New Roman" w:cs="Times New Roman" w:eastAsia="Times New Roman" w:hAnsi="Times New Roman"/>
                <w:sz w:val="14"/>
                <w:szCs w:val="14"/>
                <w:color w:val="auto"/>
              </w:rPr>
              <w:t>Fair</w:t>
            </w:r>
          </w:p>
        </w:tc>
        <w:tc>
          <w:tcPr>
            <w:tcW w:w="20" w:type="dxa"/>
            <w:vAlign w:val="bottom"/>
          </w:tcPr>
          <w:p>
            <w:pPr>
              <w:spacing w:after="0"/>
              <w:rPr>
                <w:sz w:val="11"/>
                <w:szCs w:val="11"/>
                <w:color w:val="auto"/>
              </w:rPr>
            </w:pPr>
          </w:p>
        </w:tc>
      </w:tr>
      <w:tr>
        <w:trPr>
          <w:trHeight w:val="142"/>
        </w:trPr>
        <w:tc>
          <w:tcPr>
            <w:tcW w:w="40" w:type="dxa"/>
            <w:vAlign w:val="bottom"/>
          </w:tcPr>
          <w:p>
            <w:pPr>
              <w:spacing w:after="0"/>
              <w:rPr>
                <w:sz w:val="12"/>
                <w:szCs w:val="12"/>
                <w:color w:val="auto"/>
              </w:rPr>
            </w:pPr>
          </w:p>
        </w:tc>
        <w:tc>
          <w:tcPr>
            <w:tcW w:w="51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840" w:type="dxa"/>
            <w:vAlign w:val="bottom"/>
            <w:gridSpan w:val="3"/>
          </w:tcPr>
          <w:p>
            <w:pPr>
              <w:jc w:val="center"/>
              <w:ind w:right="900"/>
              <w:spacing w:after="0" w:line="122" w:lineRule="exact"/>
              <w:rPr>
                <w:sz w:val="20"/>
                <w:szCs w:val="20"/>
                <w:color w:val="auto"/>
              </w:rPr>
            </w:pPr>
            <w:r>
              <w:rPr>
                <w:rFonts w:ascii="Times New Roman" w:cs="Times New Roman" w:eastAsia="Times New Roman" w:hAnsi="Times New Roman"/>
                <w:sz w:val="14"/>
                <w:szCs w:val="14"/>
                <w:color w:val="auto"/>
              </w:rPr>
              <w:t>Cost</w:t>
            </w:r>
          </w:p>
        </w:tc>
        <w:tc>
          <w:tcPr>
            <w:tcW w:w="1000" w:type="dxa"/>
            <w:vAlign w:val="bottom"/>
            <w:gridSpan w:val="2"/>
          </w:tcPr>
          <w:p>
            <w:pPr>
              <w:jc w:val="center"/>
              <w:ind w:right="640"/>
              <w:spacing w:after="0" w:line="122" w:lineRule="exact"/>
              <w:rPr>
                <w:sz w:val="20"/>
                <w:szCs w:val="20"/>
                <w:color w:val="auto"/>
              </w:rPr>
            </w:pPr>
            <w:r>
              <w:rPr>
                <w:rFonts w:ascii="Times New Roman" w:cs="Times New Roman" w:eastAsia="Times New Roman" w:hAnsi="Times New Roman"/>
                <w:sz w:val="14"/>
                <w:szCs w:val="14"/>
                <w:color w:val="auto"/>
                <w:w w:val="95"/>
              </w:rPr>
              <w:t>Value</w:t>
            </w:r>
          </w:p>
        </w:tc>
        <w:tc>
          <w:tcPr>
            <w:tcW w:w="2100" w:type="dxa"/>
            <w:vAlign w:val="bottom"/>
            <w:gridSpan w:val="3"/>
          </w:tcPr>
          <w:p>
            <w:pPr>
              <w:jc w:val="center"/>
              <w:ind w:right="640"/>
              <w:spacing w:after="0" w:line="122" w:lineRule="exact"/>
              <w:rPr>
                <w:sz w:val="20"/>
                <w:szCs w:val="20"/>
                <w:color w:val="auto"/>
              </w:rPr>
            </w:pPr>
            <w:r>
              <w:rPr>
                <w:rFonts w:ascii="Times New Roman" w:cs="Times New Roman" w:eastAsia="Times New Roman" w:hAnsi="Times New Roman"/>
                <w:sz w:val="14"/>
                <w:szCs w:val="14"/>
                <w:color w:val="auto"/>
              </w:rPr>
              <w:t>Cost</w:t>
            </w:r>
          </w:p>
        </w:tc>
        <w:tc>
          <w:tcPr>
            <w:tcW w:w="940" w:type="dxa"/>
            <w:vAlign w:val="bottom"/>
            <w:gridSpan w:val="2"/>
          </w:tcPr>
          <w:p>
            <w:pPr>
              <w:jc w:val="center"/>
              <w:ind w:right="580"/>
              <w:spacing w:after="0" w:line="122" w:lineRule="exact"/>
              <w:rPr>
                <w:sz w:val="20"/>
                <w:szCs w:val="20"/>
                <w:color w:val="auto"/>
              </w:rPr>
            </w:pPr>
            <w:r>
              <w:rPr>
                <w:rFonts w:ascii="Times New Roman" w:cs="Times New Roman" w:eastAsia="Times New Roman" w:hAnsi="Times New Roman"/>
                <w:sz w:val="14"/>
                <w:szCs w:val="14"/>
                <w:color w:val="auto"/>
                <w:w w:val="95"/>
              </w:rPr>
              <w:t>Value</w:t>
            </w:r>
          </w:p>
        </w:tc>
      </w:tr>
      <w:tr>
        <w:trPr>
          <w:trHeight w:val="22"/>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370,189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372,926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334,583</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Texas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114,753</w:t>
            </w:r>
          </w:p>
        </w:tc>
        <w:tc>
          <w:tcPr>
            <w:tcW w:w="20" w:type="dxa"/>
            <w:vAlign w:val="bottom"/>
          </w:tcPr>
          <w:p>
            <w:pPr>
              <w:spacing w:after="0"/>
              <w:rPr>
                <w:sz w:val="15"/>
                <w:szCs w:val="15"/>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113,983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82,872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90,413</w:t>
            </w:r>
          </w:p>
        </w:tc>
        <w:tc>
          <w:tcPr>
            <w:tcW w:w="20" w:type="dxa"/>
            <w:vAlign w:val="bottom"/>
          </w:tcPr>
          <w:p>
            <w:pPr>
              <w:spacing w:after="0"/>
              <w:rPr>
                <w:sz w:val="15"/>
                <w:szCs w:val="15"/>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Colorado</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79,987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79,012</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All other states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919,670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792,228</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958,274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846,862</w:t>
            </w:r>
          </w:p>
        </w:tc>
        <w:tc>
          <w:tcPr>
            <w:tcW w:w="20" w:type="dxa"/>
            <w:vAlign w:val="bottom"/>
          </w:tcPr>
          <w:p>
            <w:pPr>
              <w:spacing w:after="0"/>
              <w:rPr>
                <w:sz w:val="15"/>
                <w:szCs w:val="15"/>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1,691,587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1,479,838</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1,751,903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1,570,583</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34" w:name="page35"/>
    <w:bookmarkEnd w:id="34"/>
    <w:p>
      <w:pPr>
        <w:jc w:val="both"/>
        <w:spacing w:after="0" w:line="267" w:lineRule="auto"/>
        <w:rPr>
          <w:sz w:val="20"/>
          <w:szCs w:val="20"/>
          <w:color w:val="auto"/>
        </w:rPr>
      </w:pPr>
      <w:r>
        <w:rPr>
          <w:rFonts w:ascii="Times New Roman" w:cs="Times New Roman" w:eastAsia="Times New Roman" w:hAnsi="Times New Roman"/>
          <w:sz w:val="14"/>
          <w:szCs w:val="14"/>
          <w:color w:val="auto"/>
        </w:rPr>
        <w:t>The following table presents the carrying amount and weighted-average yield of available-for-sale and held-to-maturity debt securities by contractual maturity at December 31, 2024.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related federal income tax benefit.</w:t>
      </w:r>
    </w:p>
    <w:tbl>
      <w:tblPr>
        <w:tblLayout w:type="fixed"/>
        <w:tblInd w:w="40" w:type="dxa"/>
        <w:tblCellMar>
          <w:top w:w="0" w:type="dxa"/>
          <w:left w:w="0" w:type="dxa"/>
          <w:bottom w:w="0" w:type="dxa"/>
          <w:right w:w="0" w:type="dxa"/>
        </w:tblCellMar>
      </w:tblPr>
      <w:tr>
        <w:trPr>
          <w:trHeight w:val="118"/>
        </w:trPr>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243"/>
              <w:spacing w:after="0" w:line="118" w:lineRule="exact"/>
              <w:rPr>
                <w:sz w:val="20"/>
                <w:szCs w:val="20"/>
                <w:color w:val="auto"/>
              </w:rPr>
            </w:pPr>
            <w:r>
              <w:rPr>
                <w:rFonts w:ascii="Times New Roman" w:cs="Times New Roman" w:eastAsia="Times New Roman" w:hAnsi="Times New Roman"/>
                <w:sz w:val="11"/>
                <w:szCs w:val="11"/>
                <w:color w:val="auto"/>
              </w:rPr>
              <w:t>One Year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After One through Five Years</w:t>
            </w:r>
          </w:p>
        </w:tc>
        <w:tc>
          <w:tcPr>
            <w:tcW w:w="1520" w:type="dxa"/>
            <w:vAlign w:val="bottom"/>
            <w:gridSpan w:val="5"/>
            <w:vMerge w:val="restart"/>
          </w:tcPr>
          <w:p>
            <w:pPr>
              <w:ind w:left="40"/>
              <w:spacing w:after="0"/>
              <w:rPr>
                <w:sz w:val="20"/>
                <w:szCs w:val="20"/>
                <w:color w:val="auto"/>
              </w:rPr>
            </w:pPr>
            <w:r>
              <w:rPr>
                <w:rFonts w:ascii="Times New Roman" w:cs="Times New Roman" w:eastAsia="Times New Roman" w:hAnsi="Times New Roman"/>
                <w:sz w:val="11"/>
                <w:szCs w:val="11"/>
                <w:color w:val="auto"/>
              </w:rPr>
              <w:t>After Five through Ten Years</w:t>
            </w:r>
          </w:p>
        </w:tc>
        <w:tc>
          <w:tcPr>
            <w:tcW w:w="140" w:type="dxa"/>
            <w:vAlign w:val="bottom"/>
          </w:tcPr>
          <w:p>
            <w:pPr>
              <w:spacing w:after="0"/>
              <w:rPr>
                <w:sz w:val="10"/>
                <w:szCs w:val="10"/>
                <w:color w:val="auto"/>
              </w:rPr>
            </w:pPr>
          </w:p>
        </w:tc>
        <w:tc>
          <w:tcPr>
            <w:tcW w:w="920" w:type="dxa"/>
            <w:vAlign w:val="bottom"/>
            <w:gridSpan w:val="3"/>
          </w:tcPr>
          <w:p>
            <w:pPr>
              <w:jc w:val="center"/>
              <w:ind w:left="263"/>
              <w:spacing w:after="0" w:line="118" w:lineRule="exact"/>
              <w:rPr>
                <w:sz w:val="20"/>
                <w:szCs w:val="20"/>
                <w:color w:val="auto"/>
              </w:rPr>
            </w:pPr>
            <w:r>
              <w:rPr>
                <w:rFonts w:ascii="Times New Roman" w:cs="Times New Roman" w:eastAsia="Times New Roman" w:hAnsi="Times New Roman"/>
                <w:sz w:val="11"/>
                <w:szCs w:val="11"/>
                <w:color w:val="auto"/>
              </w:rPr>
              <w:t>After</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Mortgage-Backed Securities </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0"/>
                <w:szCs w:val="10"/>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Total</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left="283"/>
              <w:spacing w:after="0"/>
              <w:rPr>
                <w:sz w:val="20"/>
                <w:szCs w:val="20"/>
                <w:color w:val="auto"/>
              </w:rPr>
            </w:pPr>
            <w:r>
              <w:rPr>
                <w:rFonts w:ascii="Times New Roman" w:cs="Times New Roman" w:eastAsia="Times New Roman" w:hAnsi="Times New Roman"/>
                <w:sz w:val="11"/>
                <w:szCs w:val="11"/>
                <w:color w:val="auto"/>
                <w:w w:val="99"/>
              </w:rPr>
              <w:t>or Less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vMerge w:val="continue"/>
          </w:tcPr>
          <w:p>
            <w:pPr>
              <w:spacing w:after="0"/>
              <w:rPr>
                <w:sz w:val="13"/>
                <w:szCs w:val="13"/>
                <w:color w:val="auto"/>
              </w:rPr>
            </w:pPr>
          </w:p>
        </w:tc>
        <w:tc>
          <w:tcPr>
            <w:tcW w:w="152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left="283"/>
              <w:spacing w:after="0"/>
              <w:rPr>
                <w:sz w:val="20"/>
                <w:szCs w:val="20"/>
                <w:color w:val="auto"/>
              </w:rPr>
            </w:pPr>
            <w:r>
              <w:rPr>
                <w:rFonts w:ascii="Times New Roman" w:cs="Times New Roman" w:eastAsia="Times New Roman" w:hAnsi="Times New Roman"/>
                <w:sz w:val="11"/>
                <w:szCs w:val="11"/>
                <w:color w:val="auto"/>
              </w:rPr>
              <w:t>Ten Years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7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3"/>
          </w:tcPr>
          <w:p>
            <w:pPr>
              <w:ind w:left="40"/>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46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163"/>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3"/>
          </w:tcPr>
          <w:p>
            <w:pPr>
              <w:ind w:left="80"/>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500" w:type="dxa"/>
            <w:vAlign w:val="bottom"/>
            <w:tcBorders>
              <w:top w:val="single" w:sz="8" w:color="auto"/>
            </w:tcBorders>
          </w:tcPr>
          <w:p>
            <w:pPr>
              <w:jc w:val="right"/>
              <w:ind w:right="14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183"/>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2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100"/>
              <w:spacing w:after="0" w:line="107" w:lineRule="exact"/>
              <w:rPr>
                <w:sz w:val="20"/>
                <w:szCs w:val="20"/>
                <w:color w:val="auto"/>
              </w:rPr>
            </w:pPr>
            <w:r>
              <w:rPr>
                <w:rFonts w:ascii="Times New Roman" w:cs="Times New Roman" w:eastAsia="Times New Roman" w:hAnsi="Times New Roman"/>
                <w:sz w:val="11"/>
                <w:szCs w:val="11"/>
                <w:color w:val="auto"/>
              </w:rPr>
              <w:t>Amount</w:t>
            </w:r>
          </w:p>
        </w:tc>
        <w:tc>
          <w:tcPr>
            <w:tcW w:w="620" w:type="dxa"/>
            <w:vAlign w:val="bottom"/>
            <w:tcBorders>
              <w:top w:val="single" w:sz="8" w:color="auto"/>
            </w:tcBorders>
          </w:tcPr>
          <w:p>
            <w:pPr>
              <w:jc w:val="right"/>
              <w:ind w:right="143"/>
              <w:spacing w:after="0" w:line="107" w:lineRule="exact"/>
              <w:rPr>
                <w:sz w:val="20"/>
                <w:szCs w:val="20"/>
                <w:color w:val="auto"/>
              </w:rPr>
            </w:pPr>
            <w:r>
              <w:rPr>
                <w:rFonts w:ascii="Times New Roman" w:cs="Times New Roman" w:eastAsia="Times New Roman" w:hAnsi="Times New Roman"/>
                <w:sz w:val="11"/>
                <w:szCs w:val="11"/>
                <w:color w:val="auto"/>
              </w:rPr>
              <w:t>Yield</w:t>
            </w:r>
          </w:p>
        </w:tc>
        <w:tc>
          <w:tcPr>
            <w:tcW w:w="0" w:type="dxa"/>
            <w:vAlign w:val="bottom"/>
          </w:tcPr>
          <w:p>
            <w:pPr>
              <w:spacing w:after="0"/>
              <w:rPr>
                <w:sz w:val="1"/>
                <w:szCs w:val="1"/>
                <w:color w:val="auto"/>
              </w:rPr>
            </w:pPr>
          </w:p>
        </w:tc>
      </w:tr>
      <w:tr>
        <w:trPr>
          <w:trHeight w:val="22"/>
        </w:trPr>
        <w:tc>
          <w:tcPr>
            <w:tcW w:w="10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Available-for-sale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U.S. government and federal</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290,538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168,735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1.13 %</w:t>
            </w:r>
          </w:p>
        </w:tc>
        <w:tc>
          <w:tcPr>
            <w:tcW w:w="100" w:type="dxa"/>
            <w:vAlign w:val="bottom"/>
          </w:tcPr>
          <w:p>
            <w:pPr>
              <w:spacing w:after="0"/>
              <w:rPr>
                <w:sz w:val="9"/>
                <w:szCs w:val="9"/>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1,993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5.07 %</w:t>
            </w:r>
          </w:p>
        </w:tc>
        <w:tc>
          <w:tcPr>
            <w:tcW w:w="100" w:type="dxa"/>
            <w:vAlign w:val="bottom"/>
          </w:tcPr>
          <w:p>
            <w:pPr>
              <w:spacing w:after="0"/>
              <w:rPr>
                <w:sz w:val="9"/>
                <w:szCs w:val="9"/>
                <w:color w:val="auto"/>
              </w:rPr>
            </w:pP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7,167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4.06 %</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468,433</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1.13 %</w:t>
            </w:r>
          </w:p>
        </w:tc>
        <w:tc>
          <w:tcPr>
            <w:tcW w:w="0" w:type="dxa"/>
            <w:vAlign w:val="bottom"/>
          </w:tcPr>
          <w:p>
            <w:pPr>
              <w:spacing w:after="0"/>
              <w:rPr>
                <w:sz w:val="1"/>
                <w:szCs w:val="1"/>
                <w:color w:val="auto"/>
              </w:rPr>
            </w:pPr>
          </w:p>
        </w:tc>
      </w:tr>
      <w:tr>
        <w:trPr>
          <w:trHeight w:val="151"/>
        </w:trPr>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agency</w:t>
            </w: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72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U.S. government sponsored</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18,844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0.54 %</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291,310</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1.30 %</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310,154</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1.26 %</w:t>
            </w:r>
          </w:p>
        </w:tc>
        <w:tc>
          <w:tcPr>
            <w:tcW w:w="0" w:type="dxa"/>
            <w:vAlign w:val="bottom"/>
          </w:tcPr>
          <w:p>
            <w:pPr>
              <w:spacing w:after="0"/>
              <w:rPr>
                <w:sz w:val="1"/>
                <w:szCs w:val="1"/>
                <w:color w:val="auto"/>
              </w:rPr>
            </w:pPr>
          </w:p>
        </w:tc>
      </w:tr>
      <w:tr>
        <w:trPr>
          <w:trHeight w:val="155"/>
        </w:trPr>
        <w:tc>
          <w:tcPr>
            <w:tcW w:w="1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enterprises</w:t>
            </w: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28,870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1.72 %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21,467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68,680</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2.17 %</w:t>
            </w:r>
          </w:p>
        </w:tc>
        <w:tc>
          <w:tcPr>
            <w:tcW w:w="0" w:type="dxa"/>
            <w:vAlign w:val="bottom"/>
          </w:tcPr>
          <w:p>
            <w:pPr>
              <w:spacing w:after="0"/>
              <w:rPr>
                <w:sz w:val="1"/>
                <w:szCs w:val="1"/>
                <w:color w:val="auto"/>
              </w:rPr>
            </w:pPr>
          </w:p>
        </w:tc>
      </w:tr>
      <w:tr>
        <w:trPr>
          <w:trHeight w:val="165"/>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1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9,925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3,782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0.46 %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14,503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3.58 %</w:t>
            </w:r>
          </w:p>
        </w:tc>
        <w:tc>
          <w:tcPr>
            <w:tcW w:w="0" w:type="dxa"/>
            <w:vAlign w:val="bottom"/>
          </w:tcPr>
          <w:p>
            <w:pPr>
              <w:spacing w:after="0"/>
              <w:rPr>
                <w:sz w:val="1"/>
                <w:szCs w:val="1"/>
                <w:color w:val="auto"/>
              </w:rPr>
            </w:pPr>
          </w:p>
        </w:tc>
      </w:tr>
      <w:tr>
        <w:trPr>
          <w:trHeight w:val="110"/>
        </w:trPr>
        <w:tc>
          <w:tcPr>
            <w:tcW w:w="17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Residential mortgage-backed</w:t>
            </w:r>
          </w:p>
        </w:tc>
        <w:tc>
          <w:tcPr>
            <w:tcW w:w="120" w:type="dxa"/>
            <w:vAlign w:val="bottom"/>
          </w:tcPr>
          <w:p>
            <w:pPr>
              <w:spacing w:after="0"/>
              <w:rPr>
                <w:sz w:val="9"/>
                <w:szCs w:val="9"/>
                <w:color w:val="auto"/>
              </w:rPr>
            </w:pP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9"/>
                <w:szCs w:val="9"/>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9"/>
                <w:szCs w:val="9"/>
                <w:color w:val="auto"/>
              </w:rPr>
            </w:pP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2,355,516</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2,355,516</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0" w:type="dxa"/>
            <w:vAlign w:val="bottom"/>
          </w:tcPr>
          <w:p>
            <w:pPr>
              <w:spacing w:after="0"/>
              <w:rPr>
                <w:sz w:val="1"/>
                <w:szCs w:val="1"/>
                <w:color w:val="auto"/>
              </w:rPr>
            </w:pPr>
          </w:p>
        </w:tc>
      </w:tr>
      <w:tr>
        <w:trPr>
          <w:trHeight w:val="151"/>
        </w:trPr>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securities</w:t>
            </w:r>
          </w:p>
        </w:tc>
        <w:tc>
          <w:tcPr>
            <w:tcW w:w="1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72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Commercial mortgage-backed</w:t>
            </w:r>
          </w:p>
        </w:tc>
        <w:tc>
          <w:tcPr>
            <w:tcW w:w="12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1,027,919</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3.58 %</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1,027,919</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3.58 %</w:t>
            </w:r>
          </w:p>
        </w:tc>
        <w:tc>
          <w:tcPr>
            <w:tcW w:w="0" w:type="dxa"/>
            <w:vAlign w:val="bottom"/>
          </w:tcPr>
          <w:p>
            <w:pPr>
              <w:spacing w:after="0"/>
              <w:rPr>
                <w:sz w:val="1"/>
                <w:szCs w:val="1"/>
                <w:color w:val="auto"/>
              </w:rPr>
            </w:pPr>
          </w:p>
        </w:tc>
      </w:tr>
      <w:tr>
        <w:trPr>
          <w:trHeight w:val="155"/>
        </w:trPr>
        <w:tc>
          <w:tcPr>
            <w:tcW w:w="1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w:t>
            </w:r>
          </w:p>
        </w:tc>
        <w:tc>
          <w:tcPr>
            <w:tcW w:w="120" w:type="dxa"/>
            <w:vAlign w:val="bottom"/>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available-for-sale</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313,311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498,840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1.31 %</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20,189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3.01 %</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29,430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2.93 %</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3,383,435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1.80 %</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4,245,205</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1.70 %</w:t>
            </w:r>
          </w:p>
        </w:tc>
        <w:tc>
          <w:tcPr>
            <w:tcW w:w="0" w:type="dxa"/>
            <w:vAlign w:val="bottom"/>
          </w:tcPr>
          <w:p>
            <w:pPr>
              <w:spacing w:after="0"/>
              <w:rPr>
                <w:sz w:val="1"/>
                <w:szCs w:val="1"/>
                <w:color w:val="auto"/>
              </w:rPr>
            </w:pPr>
          </w:p>
        </w:tc>
      </w:tr>
      <w:tr>
        <w:trPr>
          <w:trHeight w:val="165"/>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Held-to-maturity</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720" w:type="dxa"/>
            <w:vAlign w:val="bottom"/>
            <w:gridSpan w:val="2"/>
          </w:tcPr>
          <w:p>
            <w:pPr>
              <w:ind w:left="160"/>
              <w:spacing w:after="0" w:line="110" w:lineRule="exact"/>
              <w:rPr>
                <w:sz w:val="20"/>
                <w:szCs w:val="20"/>
                <w:color w:val="auto"/>
              </w:rPr>
            </w:pPr>
            <w:r>
              <w:rPr>
                <w:rFonts w:ascii="Times New Roman" w:cs="Times New Roman" w:eastAsia="Times New Roman" w:hAnsi="Times New Roman"/>
                <w:sz w:val="11"/>
                <w:szCs w:val="11"/>
                <w:color w:val="auto"/>
              </w:rPr>
              <w:t>U.S. government and federal</w:t>
            </w:r>
          </w:p>
        </w:tc>
        <w:tc>
          <w:tcPr>
            <w:tcW w:w="120" w:type="dxa"/>
            <w:vAlign w:val="bottom"/>
          </w:tcPr>
          <w:p>
            <w:pPr>
              <w:spacing w:after="0"/>
              <w:rPr>
                <w:sz w:val="9"/>
                <w:szCs w:val="9"/>
                <w:color w:val="auto"/>
              </w:rPr>
            </w:pP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9"/>
                <w:szCs w:val="9"/>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859,432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1.16 %</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9"/>
                <w:szCs w:val="9"/>
                <w:color w:val="auto"/>
              </w:rPr>
            </w:pP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859,432</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1.16 %</w:t>
            </w:r>
          </w:p>
        </w:tc>
        <w:tc>
          <w:tcPr>
            <w:tcW w:w="0" w:type="dxa"/>
            <w:vAlign w:val="bottom"/>
          </w:tcPr>
          <w:p>
            <w:pPr>
              <w:spacing w:after="0"/>
              <w:rPr>
                <w:sz w:val="1"/>
                <w:szCs w:val="1"/>
                <w:color w:val="auto"/>
              </w:rPr>
            </w:pPr>
          </w:p>
        </w:tc>
      </w:tr>
      <w:tr>
        <w:trPr>
          <w:trHeight w:val="151"/>
        </w:trPr>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agency</w:t>
            </w:r>
          </w:p>
        </w:tc>
        <w:tc>
          <w:tcPr>
            <w:tcW w:w="1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82,069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209,288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1,318,909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1,619,850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3.07 %</w:t>
            </w:r>
          </w:p>
        </w:tc>
        <w:tc>
          <w:tcPr>
            <w:tcW w:w="0" w:type="dxa"/>
            <w:vAlign w:val="bottom"/>
          </w:tcPr>
          <w:p>
            <w:pPr>
              <w:spacing w:after="0"/>
              <w:rPr>
                <w:sz w:val="1"/>
                <w:szCs w:val="1"/>
                <w:color w:val="auto"/>
              </w:rPr>
            </w:pPr>
          </w:p>
        </w:tc>
      </w:tr>
      <w:tr>
        <w:trPr>
          <w:trHeight w:val="110"/>
        </w:trPr>
        <w:tc>
          <w:tcPr>
            <w:tcW w:w="1720" w:type="dxa"/>
            <w:vAlign w:val="bottom"/>
            <w:gridSpan w:val="2"/>
          </w:tcPr>
          <w:p>
            <w:pPr>
              <w:ind w:left="160"/>
              <w:spacing w:after="0" w:line="110" w:lineRule="exact"/>
              <w:rPr>
                <w:sz w:val="20"/>
                <w:szCs w:val="20"/>
                <w:color w:val="auto"/>
              </w:rPr>
            </w:pPr>
            <w:r>
              <w:rPr>
                <w:rFonts w:ascii="Times New Roman" w:cs="Times New Roman" w:eastAsia="Times New Roman" w:hAnsi="Times New Roman"/>
                <w:sz w:val="11"/>
                <w:szCs w:val="11"/>
                <w:color w:val="auto"/>
              </w:rPr>
              <w:t>Residential mortgage-backed</w:t>
            </w:r>
          </w:p>
        </w:tc>
        <w:tc>
          <w:tcPr>
            <w:tcW w:w="120" w:type="dxa"/>
            <w:vAlign w:val="bottom"/>
          </w:tcPr>
          <w:p>
            <w:pPr>
              <w:spacing w:after="0"/>
              <w:rPr>
                <w:sz w:val="9"/>
                <w:szCs w:val="9"/>
                <w:color w:val="auto"/>
              </w:rPr>
            </w:pP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9"/>
                <w:szCs w:val="9"/>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9"/>
                <w:szCs w:val="9"/>
                <w:color w:val="auto"/>
              </w:rPr>
            </w:pP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815,565</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0.91 %</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815,565</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0.91 %</w:t>
            </w:r>
          </w:p>
        </w:tc>
        <w:tc>
          <w:tcPr>
            <w:tcW w:w="0" w:type="dxa"/>
            <w:vAlign w:val="bottom"/>
          </w:tcPr>
          <w:p>
            <w:pPr>
              <w:spacing w:after="0"/>
              <w:rPr>
                <w:sz w:val="1"/>
                <w:szCs w:val="1"/>
                <w:color w:val="auto"/>
              </w:rPr>
            </w:pPr>
          </w:p>
        </w:tc>
      </w:tr>
      <w:tr>
        <w:trPr>
          <w:trHeight w:val="151"/>
        </w:trPr>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securities</w:t>
            </w:r>
          </w:p>
        </w:tc>
        <w:tc>
          <w:tcPr>
            <w:tcW w:w="1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held-to-maturity</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9,584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2.75 %</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941,501</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1.34 %</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209,288</w:t>
            </w: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3.29 %</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1,318,909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3.02 %</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815,565</w:t>
            </w:r>
          </w:p>
        </w:tc>
        <w:tc>
          <w:tcPr>
            <w:tcW w:w="7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0.91 %</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3,294,847</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2.04 %</w:t>
            </w:r>
          </w:p>
        </w:tc>
        <w:tc>
          <w:tcPr>
            <w:tcW w:w="0" w:type="dxa"/>
            <w:vAlign w:val="bottom"/>
          </w:tcPr>
          <w:p>
            <w:pPr>
              <w:spacing w:after="0"/>
              <w:rPr>
                <w:sz w:val="1"/>
                <w:szCs w:val="1"/>
                <w:color w:val="auto"/>
              </w:rPr>
            </w:pPr>
          </w:p>
        </w:tc>
      </w:tr>
      <w:tr>
        <w:trPr>
          <w:trHeight w:val="159"/>
        </w:trPr>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debt securities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322,895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1,440,341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1.33 %</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229,477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3.26 %</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1,348,339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3.02 %</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4,199,000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1.64 %</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7,540,052</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1.84 %</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4" w:lineRule="exact"/>
        <w:rPr>
          <w:sz w:val="20"/>
          <w:szCs w:val="20"/>
          <w:color w:val="auto"/>
        </w:rPr>
      </w:pPr>
    </w:p>
    <w:p>
      <w:pPr>
        <w:ind w:left="80" w:hanging="75"/>
        <w:spacing w:after="0"/>
        <w:tabs>
          <w:tab w:leader="none" w:pos="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Mortgage-backed securities, which have prepayment provisions, are not assigned to maturity categories due to fluctuations in their prepayment speeds.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an analysis of its available-for-sale debt securities with unrealized losses as of December 31, 2024, the Company determined their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held-to-maturity debt securities portfolio; therefore, no ACL has been recognized at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debt securities, see Notes 1 and 2 to the Consolidated Financial Statements in “Item 8. Financial Statements and Supplementary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securities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Non-marketable equity securities primarily consist of capital stock issued by the FHLB of Des Moines and are carried at cost less impairment. The Company also has an insignificant amount of equity securities that are included in other assets on the Company’s statements of financial condition.</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Non-marketable equity securities and equity securities without readily determinable fair values are evaluated for impairment whenever events or circumstances suggest the carrying value may not be recoverable. Based on the Company’s evaluation of its investments in non-marketable equity securities and equity securities without readily determinable fair values as of December 31, 2024, the Company determined that none of such securities were impaired.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Lending Activity</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Supplemental information regarding the Company’s loan portfolio and credit quality based on regulatory classification is provided in the section captioned “Loans by Regulatory Classification” included in “Part II. Item 7. Management’s Discussion and Analysis of Financial Condition and Results of Operations.” The regulatory classification of loans is based primarily on the type of collateral for the loans. Loan information included in “Part II. Item</w:t>
      </w:r>
    </w:p>
    <w:p>
      <w:pPr>
        <w:ind w:firstLine="5"/>
        <w:spacing w:after="0" w:line="266" w:lineRule="auto"/>
        <w:tabs>
          <w:tab w:leader="none" w:pos="14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Discussion and Analysis of Financial Condition and Results of Operations” is based on the Company’s loan segments, which are based on the purpose of the loan, unless otherwise noted as a regulatory classification. The following table summarizes the Company’s loan portfolio as of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Pr>
          <w:p>
            <w:pPr>
              <w:spacing w:after="0"/>
              <w:rPr>
                <w:sz w:val="16"/>
                <w:szCs w:val="16"/>
                <w:color w:val="auto"/>
              </w:rPr>
            </w:pPr>
          </w:p>
        </w:tc>
        <w:tc>
          <w:tcPr>
            <w:tcW w:w="208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29"/>
        </w:trPr>
        <w:tc>
          <w:tcPr>
            <w:tcW w:w="20" w:type="dxa"/>
            <w:vAlign w:val="bottom"/>
          </w:tcPr>
          <w:p>
            <w:pPr>
              <w:spacing w:after="0"/>
              <w:rPr>
                <w:sz w:val="11"/>
                <w:szCs w:val="11"/>
                <w:color w:val="auto"/>
              </w:rPr>
            </w:pPr>
          </w:p>
        </w:tc>
        <w:tc>
          <w:tcPr>
            <w:tcW w:w="650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900" w:type="dxa"/>
            <w:vAlign w:val="bottom"/>
            <w:tcBorders>
              <w:top w:val="single" w:sz="8" w:color="auto"/>
            </w:tcBorders>
          </w:tcPr>
          <w:p>
            <w:pPr>
              <w:jc w:val="right"/>
              <w:ind w:right="170"/>
              <w:spacing w:after="0" w:line="118" w:lineRule="exact"/>
              <w:rPr>
                <w:sz w:val="20"/>
                <w:szCs w:val="20"/>
                <w:color w:val="auto"/>
              </w:rPr>
            </w:pPr>
            <w:r>
              <w:rPr>
                <w:rFonts w:ascii="Times New Roman" w:cs="Times New Roman" w:eastAsia="Times New Roman" w:hAnsi="Times New Roman"/>
                <w:sz w:val="13"/>
                <w:szCs w:val="13"/>
                <w:color w:val="auto"/>
              </w:rPr>
              <w:t>Percent</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900" w:type="dxa"/>
            <w:vAlign w:val="bottom"/>
            <w:tcBorders>
              <w:top w:val="single" w:sz="8" w:color="auto"/>
            </w:tcBorders>
          </w:tcPr>
          <w:p>
            <w:pPr>
              <w:jc w:val="right"/>
              <w:ind w:right="170"/>
              <w:spacing w:after="0" w:line="118" w:lineRule="exact"/>
              <w:rPr>
                <w:sz w:val="20"/>
                <w:szCs w:val="20"/>
                <w:color w:val="auto"/>
              </w:rPr>
            </w:pPr>
            <w:r>
              <w:rPr>
                <w:rFonts w:ascii="Times New Roman" w:cs="Times New Roman" w:eastAsia="Times New Roman" w:hAnsi="Times New Roman"/>
                <w:sz w:val="13"/>
                <w:szCs w:val="13"/>
                <w:color w:val="auto"/>
              </w:rPr>
              <w:t>Percent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1,704,544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20" w:type="dxa"/>
            <w:vAlign w:val="bottom"/>
          </w:tcPr>
          <w:p>
            <w:pPr>
              <w:spacing w:after="0"/>
              <w:rPr>
                <w:sz w:val="15"/>
                <w:szCs w:val="15"/>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10,303,306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r>
      <w:tr>
        <w:trPr>
          <w:trHeight w:val="180"/>
        </w:trPr>
        <w:tc>
          <w:tcPr>
            <w:tcW w:w="20" w:type="dxa"/>
            <w:vAlign w:val="bottom"/>
            <w:shd w:val="clear" w:color="auto" w:fill="CCEEFF"/>
          </w:tcPr>
          <w:p>
            <w:pPr>
              <w:spacing w:after="0"/>
              <w:rPr>
                <w:sz w:val="15"/>
                <w:szCs w:val="15"/>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2,901,863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20" w:type="dxa"/>
            <w:vAlign w:val="bottom"/>
          </w:tcPr>
          <w:p>
            <w:pPr>
              <w:spacing w:after="0"/>
              <w:rPr>
                <w:sz w:val="15"/>
                <w:szCs w:val="15"/>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888,013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20" w:type="dxa"/>
            <w:vAlign w:val="bottom"/>
            <w:shd w:val="clear" w:color="auto" w:fill="CCEEFF"/>
          </w:tcPr>
          <w:p>
            <w:pPr>
              <w:spacing w:after="0"/>
              <w:rPr>
                <w:sz w:val="15"/>
                <w:szCs w:val="15"/>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388,678</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400,356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1"/>
        </w:trPr>
        <w:tc>
          <w:tcPr>
            <w:tcW w:w="20" w:type="dxa"/>
            <w:vAlign w:val="bottom"/>
            <w:tcBorders>
              <w:bottom w:val="single" w:sz="8" w:color="CCEEFF"/>
            </w:tcBorders>
          </w:tcPr>
          <w:p>
            <w:pPr>
              <w:spacing w:after="0"/>
              <w:rPr>
                <w:sz w:val="14"/>
                <w:szCs w:val="14"/>
                <w:color w:val="auto"/>
              </w:rPr>
            </w:pPr>
          </w:p>
        </w:tc>
        <w:tc>
          <w:tcPr>
            <w:tcW w:w="65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Loans receivable</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16,198,082</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101 %</w:t>
            </w:r>
          </w:p>
        </w:tc>
      </w:tr>
      <w:tr>
        <w:trPr>
          <w:trHeight w:val="171"/>
        </w:trPr>
        <w:tc>
          <w:tcPr>
            <w:tcW w:w="20" w:type="dxa"/>
            <w:vAlign w:val="bottom"/>
            <w:shd w:val="clear" w:color="auto" w:fill="CCEEFF"/>
          </w:tcPr>
          <w:p>
            <w:pPr>
              <w:spacing w:after="0"/>
              <w:rPr>
                <w:sz w:val="14"/>
                <w:szCs w:val="14"/>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(192,757)</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1"/>
        </w:trPr>
        <w:tc>
          <w:tcPr>
            <w:tcW w:w="20" w:type="dxa"/>
            <w:vAlign w:val="bottom"/>
          </w:tcPr>
          <w:p>
            <w:pPr>
              <w:spacing w:after="0"/>
              <w:rPr>
                <w:sz w:val="14"/>
                <w:szCs w:val="14"/>
                <w:color w:val="auto"/>
              </w:rPr>
            </w:pPr>
          </w:p>
        </w:tc>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Loans receivable, net</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16,005,325</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largest category of the Company’s loan portfolio is Commercial Real Estate (“CRE”). An additional breakdown of the Company’s CRE portfolio based on the use of the property follows:</w:t>
      </w:r>
    </w:p>
    <w:p>
      <w:pPr>
        <w:spacing w:after="0" w:line="4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Owner Occupied</w:t>
            </w:r>
          </w:p>
        </w:tc>
        <w:tc>
          <w:tcPr>
            <w:tcW w:w="1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Non-Owner Occupied</w:t>
            </w:r>
          </w:p>
        </w:tc>
        <w:tc>
          <w:tcPr>
            <w:tcW w:w="3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589"/>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right"/>
              <w:ind w:right="209"/>
              <w:spacing w:after="0" w:line="129" w:lineRule="exact"/>
              <w:rPr>
                <w:sz w:val="20"/>
                <w:szCs w:val="20"/>
                <w:color w:val="auto"/>
              </w:rPr>
            </w:pPr>
            <w:r>
              <w:rPr>
                <w:rFonts w:ascii="Times New Roman" w:cs="Times New Roman" w:eastAsia="Times New Roman" w:hAnsi="Times New Roman"/>
                <w:sz w:val="14"/>
                <w:szCs w:val="14"/>
                <w:color w:val="auto"/>
              </w:rPr>
              <w:t>Percent of total CRE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783,739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1,489,032</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1,210,562</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1,210,562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11.0 %</w:t>
            </w:r>
          </w:p>
        </w:tc>
      </w:tr>
      <w:tr>
        <w:trPr>
          <w:trHeight w:val="180"/>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 and warehouse</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769,966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426,188</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1,196,154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786,833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1,170,212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180"/>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 and nursing</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316,105</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575,934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Mini and RV Storage</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565,094</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575,462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80"/>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Agriculture real estate</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567,293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Hotel</w:t>
            </w:r>
          </w:p>
        </w:tc>
        <w:tc>
          <w:tcPr>
            <w:tcW w:w="2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561,344</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561,344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80"/>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404,296</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480,975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Restaurant and entertainment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89,175</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323,576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0"/>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Automotive and transportation</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52,740</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308,213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0"/>
        </w:trPr>
        <w:tc>
          <w:tcPr>
            <w:tcW w:w="20" w:type="dxa"/>
            <w:vAlign w:val="bottom"/>
            <w:tcBorders>
              <w:bottom w:val="single" w:sz="8" w:color="CCEEFF"/>
            </w:tcBorders>
          </w:tcPr>
          <w:p>
            <w:pPr>
              <w:spacing w:after="0"/>
              <w:rPr>
                <w:sz w:val="15"/>
                <w:szCs w:val="15"/>
                <w:color w:val="auto"/>
              </w:rPr>
            </w:pPr>
          </w:p>
        </w:tc>
        <w:tc>
          <w:tcPr>
            <w:tcW w:w="4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2,058,995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445,961</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2,504,956</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22.8 %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5,321,676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5,642,037</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The following table summarizes the Company’s CRE portfolio by geographic location as of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360" w:type="dxa"/>
            <w:vAlign w:val="bottom"/>
          </w:tcPr>
          <w:p>
            <w:pPr>
              <w:spacing w:after="0"/>
              <w:rPr>
                <w:sz w:val="15"/>
                <w:szCs w:val="15"/>
                <w:color w:val="auto"/>
              </w:rPr>
            </w:pPr>
          </w:p>
        </w:tc>
        <w:tc>
          <w:tcPr>
            <w:tcW w:w="258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December 31, 2024</w:t>
            </w:r>
          </w:p>
        </w:tc>
        <w:tc>
          <w:tcPr>
            <w:tcW w:w="48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Percent of total CRE</w:t>
            </w:r>
          </w:p>
        </w:tc>
        <w:tc>
          <w:tcPr>
            <w:tcW w:w="480" w:type="dxa"/>
            <w:vAlign w:val="bottom"/>
            <w:tcBorders>
              <w:bottom w:val="single" w:sz="8" w:color="auto"/>
            </w:tcBorders>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Montana</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2,978,830</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27.2 %</w:t>
            </w:r>
          </w:p>
        </w:tc>
      </w:tr>
      <w:tr>
        <w:trPr>
          <w:trHeight w:val="180"/>
        </w:trPr>
        <w:tc>
          <w:tcPr>
            <w:tcW w:w="20" w:type="dxa"/>
            <w:vAlign w:val="bottom"/>
          </w:tcPr>
          <w:p>
            <w:pPr>
              <w:spacing w:after="0"/>
              <w:rPr>
                <w:sz w:val="15"/>
                <w:szCs w:val="15"/>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Utah</w:t>
            </w:r>
          </w:p>
        </w:tc>
        <w:tc>
          <w:tcPr>
            <w:tcW w:w="1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1,927,838</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17.6 %</w:t>
            </w:r>
          </w:p>
        </w:tc>
      </w:tr>
      <w:tr>
        <w:trPr>
          <w:trHeight w:val="180"/>
        </w:trPr>
        <w:tc>
          <w:tcPr>
            <w:tcW w:w="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Idaho</w:t>
            </w:r>
          </w:p>
        </w:tc>
        <w:tc>
          <w:tcPr>
            <w:tcW w:w="1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1,560,564</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r>
      <w:tr>
        <w:trPr>
          <w:trHeight w:val="180"/>
        </w:trPr>
        <w:tc>
          <w:tcPr>
            <w:tcW w:w="20" w:type="dxa"/>
            <w:vAlign w:val="bottom"/>
          </w:tcPr>
          <w:p>
            <w:pPr>
              <w:spacing w:after="0"/>
              <w:rPr>
                <w:sz w:val="15"/>
                <w:szCs w:val="15"/>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Arizona</w:t>
            </w:r>
          </w:p>
        </w:tc>
        <w:tc>
          <w:tcPr>
            <w:tcW w:w="1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1,289,603</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r>
      <w:tr>
        <w:trPr>
          <w:trHeight w:val="180"/>
        </w:trPr>
        <w:tc>
          <w:tcPr>
            <w:tcW w:w="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Colorado</w:t>
            </w:r>
          </w:p>
        </w:tc>
        <w:tc>
          <w:tcPr>
            <w:tcW w:w="1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1,122,844</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r>
      <w:tr>
        <w:trPr>
          <w:trHeight w:val="180"/>
        </w:trPr>
        <w:tc>
          <w:tcPr>
            <w:tcW w:w="20" w:type="dxa"/>
            <w:vAlign w:val="bottom"/>
          </w:tcPr>
          <w:p>
            <w:pPr>
              <w:spacing w:after="0"/>
              <w:rPr>
                <w:sz w:val="15"/>
                <w:szCs w:val="15"/>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Wyoming</w:t>
            </w:r>
          </w:p>
        </w:tc>
        <w:tc>
          <w:tcPr>
            <w:tcW w:w="1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784,760</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180"/>
        </w:trPr>
        <w:tc>
          <w:tcPr>
            <w:tcW w:w="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Nevada</w:t>
            </w:r>
          </w:p>
        </w:tc>
        <w:tc>
          <w:tcPr>
            <w:tcW w:w="1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711,508</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20" w:type="dxa"/>
            <w:vAlign w:val="bottom"/>
            <w:tcBorders>
              <w:bottom w:val="single" w:sz="8" w:color="CCEEFF"/>
            </w:tcBorders>
          </w:tcPr>
          <w:p>
            <w:pPr>
              <w:spacing w:after="0"/>
              <w:rPr>
                <w:sz w:val="15"/>
                <w:szCs w:val="15"/>
                <w:color w:val="auto"/>
              </w:rPr>
            </w:pPr>
          </w:p>
        </w:tc>
        <w:tc>
          <w:tcPr>
            <w:tcW w:w="6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Washington</w:t>
            </w:r>
          </w:p>
        </w:tc>
        <w:tc>
          <w:tcPr>
            <w:tcW w:w="1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587,766</w:t>
            </w: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8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CRE portfolio is comprised of loans made to purchase, construct and finance commercial real estate properties. On average, the balances are small and geographically disbursed across our eight-state footprint. Specifically, our CRE portfolio has an average loan balance of $778 thousand with an average loan-to-value ratio (“LTV”) of 59% as of December 31, 2024.</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Due to the recent trends in the banking industry, there has been increased risk associated with commercial real estate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stated maturities or first repricing term (if applicable) for the loan portfolio at December 31, 2024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Consumer</w:t>
            </w:r>
          </w:p>
        </w:tc>
        <w:tc>
          <w:tcPr>
            <w:tcW w:w="14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54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560" w:type="dxa"/>
            <w:vAlign w:val="bottom"/>
            <w:gridSpan w:val="2"/>
          </w:tcPr>
          <w:p>
            <w:pPr>
              <w:ind w:left="460"/>
              <w:spacing w:after="0" w:line="129" w:lineRule="exact"/>
              <w:rPr>
                <w:sz w:val="20"/>
                <w:szCs w:val="20"/>
                <w:color w:val="auto"/>
              </w:rPr>
            </w:pPr>
            <w:r>
              <w:rPr>
                <w:rFonts w:ascii="Times New Roman" w:cs="Times New Roman" w:eastAsia="Times New Roman" w:hAnsi="Times New Roman"/>
                <w:sz w:val="14"/>
                <w:szCs w:val="14"/>
                <w:color w:val="auto"/>
              </w:rPr>
              <w:t>and Other</w:t>
            </w:r>
          </w:p>
        </w:tc>
        <w:tc>
          <w:tcPr>
            <w:tcW w:w="1460" w:type="dxa"/>
            <w:vAlign w:val="bottom"/>
          </w:tcPr>
          <w:p>
            <w:pPr>
              <w:jc w:val="right"/>
              <w:ind w:right="529"/>
              <w:spacing w:after="0" w:line="129" w:lineRule="exact"/>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rate maturing or repricing</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 one year or less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204,780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3,147,730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611,294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3,963,804</w:t>
            </w: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After one through five years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743,282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4,914,422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320,946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5,978,650</w:t>
            </w: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After five through fifteen years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342,931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244,879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587,862</w:t>
            </w: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Fixed rate maturing</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 one year or less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150,290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1,454,624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123,498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1,728,412</w:t>
            </w: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After one through five years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156,922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2,936,913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209,144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3,302,979</w:t>
            </w: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After five through fifteen years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257,161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1,244,383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1,507,996</w:t>
            </w: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140,297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48,286</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192,146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14,083,248</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1,319,672</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17,261,849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Residential Real Estate Lending</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Company’s residential lending activities consist of the origination of both construction and permanent loans on residential real estate. The Company actively solicits residential real estate loan applications from real estate brokers, contractors, existing customers, customer referrals, and online applications. The Company’s lending policies generally limit the maximum loan-to-value ratio on residential mortgage loans to 80 percent of the lesser of the appraised value or purchase price. Policies allow for higher loan-to-values with appropriate risk mitigation such as documented compensating factors, credit enhancement, and other factors. For loans held for sale, the Company complies with each investor’s loan-to-value guidelines. The Company also provides interim construction financing for single-family dwellings. These loans are supported by a term take-out commitment that may be subject to certain contingencies.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auto"/>
        </w:rPr>
        <w:t>Consumer Land or Lot Loans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originates land and lot acquisition loans to borrowers who intend to construct their primary residence on the respective land or lot. These loans are generally for a term of three to five years and are secured by the developed land or lot with the loan-to-value limited to the lesser of 75 percent of the appraised value or 75 percent of the cost.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Unimproved Land and Land Development Loans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the Company has originated very few unimproved land and land development loans since the economic downturn in 2008, the Company may originate such loans on properties intended for residential and commercial use where real estate market conditions show significant strength. These loans are typically made for a term of 18 months to two years and are secured by the developed property with a loan-to-value not to exceed the lesser of 75 percent of cost or 65 percent of the appraised discounted estimated bulk sale value upon completion of the improvements. The projects under development are inspected on a regular basis and advances are made on a percentage-of-completion basis. The loans are made to borrowers with real estate development experience and appropriate financial strength. Generally, the Company requires that a certain percentage of the development be pre-sold or that construction and term take-out commitments are in place prior to funding the loan. Loans made on unimproved land are generally made for a term of five to ten years with a loan-to-value not to exceed the lesser of 50 percent of appraised value or 50 percent of cost.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Residential Builder Guidance Lines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provides Builder Guidance Lines that are comprised of pre-sold and spec-home construction and lot acquisition loans. The spec-home construction and lot acquisition loans are limited to a specific number and maximum amount. Generally, the individual loans will not exceed a one year maturity. The homes under construction are inspected on a regular basis and advances made on a percentage-of-completion basis.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Construction Loans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During the construction loan term, all construction loan collateral properties are inspected at least monthly, or more frequently as needed, until completion. Draws on construction loans are predicated upon the results of the inspection and advanced on a percentage-of-completion basis versus original budget percentages. When construction loans become non-performing and the associated project is not complete, the Company on a case-by-case basis makes the decision to advance additional funds or to initiate collection/foreclosure proceedings. Such decision includes obtaining “as-is” and “at completion” appraisals for consideration of potential increases or decreases in the collateral’s value. The Company also considers the increased costs of monitoring progress to completion, and the related collection/holding period costs should collateral ownership be transferred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Commercial Real Estate Loans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Loans are made to purchase, construct and finance commercial real estate properties. These loans are generally made to borrowers who will own and occupy the property, but may include loans to finance investment or income properties. Commercial real estate loans generally have a loan-to-value up to the lesser of 75 percent of the appraised value or 75 percent of the cost and require a minimum 1.2 times debt service coverage margin.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Agricultural Lending</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Agricultural lending is conducted on a conservative basis and consists of operating credits, term real estate loans for the acquisition or refinance of agricultural real estate or equipment, and term livestock loans for the acquisition or refinance of livestock. Loan-to-value on equipment, livestock and agricultural real estate is generally limited to 75 percent.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Home Equity Loans</w:t>
      </w:r>
    </w:p>
    <w:p>
      <w:pPr>
        <w:spacing w:after="0" w:line="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Home equity lines of credit are generally originated with maturity terms of 15 years. At origination, borrowers can choose a variable interest rate that changes quarterly, or after the first 3 or 5 years from the origination date. The draw period for home equity lines of credit usually exists from origination to maturity. During the draw period, the Company has home equity lines of credit where the borrowers pay interest only and home equity lines of credit where borrowers pay principal and interest.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Consumer Lending</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majority of consumer loans are secured by real estate, automobiles, or other assets. The Company intends to continue making such loans because of their short-term nature, generally between three months and five years. Moreover, interest rates on consumer loans are generally higher than on residential mortgage loans.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States and Political Subdivisions Lending</w:t>
      </w:r>
    </w:p>
    <w:p>
      <w:pPr>
        <w:spacing w:after="0" w:line="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lends directly to state and local political subdivisions. The loans are typically secured by the full faith and credit of the municipality or a specific revenue stream such as water or sewer fees. In general, state and local political subdivision loans carry a low risk of default and offer other complementary business opportunities such as deposits and cash management. The loans are generally long-term in nature and interest on many of these loans is tax-exempt for federal income tax purposes.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auto"/>
        </w:rPr>
        <w:t>Credit Risk Management</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is committed to a conservative management of the credit risk within the loan portfolio, including the early recognition of problem loans. The Company’s credit risk management includes stringent credit policies, individual loan approval limits, limits on concentrations of credit, and committee approval of larger loan requests. Management practices also include regular internal and external credit examinations, identification and review of individual loans and leases experiencing deterioration of credit quality, procedures for the collection of non-performing assets, quarterly monitoring of the loan portfolio, semi-annual review of loans by industry, and periodic stress testing of the loans secured by real estate. Federal and state regulatory safety and soundness examinations are conducted annually.</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loan policy and credit administration practices establish standards and limits for all extensions of credit that are secured by interests in or liens on real estate, or made for the purpose of financing the construction of real property or other improvements. Ongoing monitoring and review of the loan portfolio is based on current information, including: the borrowers’ and guarantors’ creditworthiness, value of the real estate and other collateral, the project’s performance against projections, and monthly inspections by Company employees or external parties until the real estate project is complete.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Monitoring of the junior lien and home equity lines of credit portfolios includes evaluating payment delinquency, collateral values, bankruptcy notices and foreclosure filings. Additionally, the Company places junior lien mortgages and junior lien home equity lines of credit on non-accrual status when there is evidence that the associated senior lien is 90 days past due or is in the process of foreclosure, regardless of the junior lien delinquency status.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 Approval Limits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Individual loan approval limits have been established for each lender based on the loan types and experience of the individual. There are four additional loan approval levels: 1) the Bank divisions’ Officer Loan Committees, consisting of senior lenders and members of senior management; 2) the Bank divisions’ advisory boards; 3) the Bank’s Executive Loan Committee, consisting of the Bank divisions’ senior loan officers and the Company’s Chief Credit Administrator; and 4) the Bank’s Board of Directors. Under banking laws, loans-to-one-borrower and related entities are limited to a prescribed percentage of the unimpaired capital and surplus of the Bank.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Reserves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Interest reserves are used to periodically advance loan funds to pay interest charges on the outstanding balance of the related loan. As with any extension of credit, the decision to establish a loan-funded interest reserve upon origination of construction loans, including residential construction and land, lot and other construction loans, is based on prudent underwriting, including the feasibility of the project, expected cash flow, creditworthiness of the borrower and guarantors, and the protection provided by the real estate and other underlying collateral. Interest reserves provide an effective means for addressing the cash flow characteristics of construction loans. In response to the downturn in the housing market and potential impact upon construction lending, the Company discourages the creation or continued use of interest reserves.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reserves are advanced provided the related construction loan is performing as expected. Loans with interest reserves may be extended, renewed or restructured only when the related loan continues to perform as expected and meets the prudent underwriting standards identified above. Such renewals, extension or restructuring are not permitted in order to keep the related loan current.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monitoring the performance and credit quality of a construction loan, the Company assesses the adequacy of any remaining interest reserve, and whether the use of an interest reserve remains appropriate in the presence of emerging weakness and associated risks in the construction loan.</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ongoing accrual and recognition of uncollected interest as income continues only when facts and circumstances continue to reasonably support the contractual payment of principal or interest. Loans are typically designated as non-accrual when the collection of the contractual principal or interest is unlikely and has remained unpaid for ninety days or more. For such loans, the accrual of interest and its capitalization into the loan balance will be discontinued.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had $388 million and $479 million of loans with remaining interest reserves of $31.3 million and $20.7 million as of December 31, 2024 and 2023, respectively. During 2024 and 2023, the Company extended, renewed or modified 4 loans and 7 loans, respectively, with interest reserves. Such loans had an aggregate outstanding principal balance of $1.5 million and $56.0 million as of December 31, 2024 and 2023, respectively. As of December 31, 2024, the Company had no construction loans with interest reserves that are currently non-performing or that are designated potential problem loans.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auto"/>
        </w:rPr>
        <w:t>Loan Purchases, Sales, and Servicing</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Fixed rate, long-term mortgage loans are generally sold in the secondary market. The Company is active in the secondary market, primarily through the origination of conventional, Rural Development, Federal Housing Administration and Department of Veterans Affairs residential mortgages. The sale of loans in the secondary mortgage market reduces the Company’s risk of holding long-term, fixed rate loans during periods of rising interest rates. In connection with conventional loan sales, the Company typically sells the majority of mortgage loans originated with servicing released. In certain circumstances, the Company strategically retains servicing and in the current year has been more active in retaining the servicing. For the loans that are sold with servicing retained, the Company records a servicing right asset that is subsequently amortized over the life of the loan. The servicing assets are also evaluated for impairment based on the fair value of the servicing asset compared to the carrying value.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also been active in generating commercial SBA loans, and other commercial loans, with a portion of those loans sold to investors. The Company has not originated any type of subprime mortgages, either for the loan portfolio or for sale to investors. In addition, the Company has not purchased debt securities collateralized with subprime mortgages. The Company does not actively purchase loans from other financial institutions, and substantially all of the Company’s loans receivable are with customers in the Company’s geographic market areas.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 Origination and Other Fees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to interest earned on loans, the Company receives fees for originating loans. Loan fees generally are a percentage of the principal amount of the loan and are charged to the borrower, and are normally deducted from the proceeds of the loan. Loan origination fees are generally 1.0 to 1.5 percent on residential mortgages and 0.5 to 1.5 percent on commercial loans. Consumer loans generally require a fixed fee amount. The Company also receives other fees and charges relating to existing loans, which include charges and fees collected in connection with loan modifications.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Appraisal and Evaluation Process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Company’s loan policy and credit administration practices have adopted and implemented the applicable legal and regulatory requirements, which establishes criteria for obtaining appraisals or evaluations (new or updated), including transactions that are otherwise exempt from the appraisal requirements.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of the Bank divisions monitor conditions, including supply and demand factors, in the real estate markets served so they can react quickly to changing market conditions to mitigate potential losses from specific credit exposures within the loan portfolio. Evidence of the following real estate market conditions and trends is obtained from lending personnel and third party sources:</w:t>
      </w:r>
    </w:p>
    <w:p>
      <w:pPr>
        <w:spacing w:after="0" w:line="39"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demographic indicators, including employment and population trends;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foreclosures, vacancy, construction and absorption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sales prices, rental rates, and lease terms;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tax assessments;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indicators, including trends within the lending areas;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trends, including discount and capitalization rates.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Third party information sources include federal, state, and local governments and agencies thereof, private sector economic data vendors, real estate brokers, licensed agents, sales, rental and foreclosure data tracking services.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time between ordering an appraisal or evaluation and receipt from third party vendors is typically two to six weeks for residential property depending on geographic market and four to eight weeks for non-residential property. For real estate properties that are of highly specialized or limited use, significantly complex or large, additional time beyond the typical times may be required for new appraisals or evaluations (new or updated).</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part of the Company’s credit administration and portfolio monitoring practices, the Company’s regular internal and external credit examinations review a significant number of individual loan files. Appraisals and evaluations (new or updated) are reviewed to determine whether the timeliness, methods, assumptions, and findings are reasonable and in compliance with the Company’s loan policy and credit administration practices. Such reviews include the adequacy of the steps taken by the Company to ensure that the individuals who perform appraisals and evaluations (new or updated) are appropriately qualified and are not subject to conflicts of interest. If there are any deficiencies noted in the reviews, they are reported to Bank management and prompt corrective action is taken.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regarding non-performing assets at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At or for the Years ended</w:t>
            </w:r>
          </w:p>
        </w:tc>
        <w:tc>
          <w:tcPr>
            <w:tcW w:w="14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2"/>
                <w:szCs w:val="12"/>
                <w:color w:val="auto"/>
              </w:rPr>
            </w:pPr>
          </w:p>
        </w:tc>
        <w:tc>
          <w:tcPr>
            <w:tcW w:w="14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 and foreclosed assets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Accruing loans 90 days or more past due</w:t>
            </w:r>
          </w:p>
        </w:tc>
        <w:tc>
          <w:tcPr>
            <w:tcW w:w="200" w:type="dxa"/>
            <w:vAlign w:val="bottom"/>
          </w:tcPr>
          <w:p>
            <w:pPr>
              <w:spacing w:after="0"/>
              <w:rPr>
                <w:sz w:val="15"/>
                <w:szCs w:val="15"/>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6,177</w:t>
            </w:r>
          </w:p>
        </w:tc>
        <w:tc>
          <w:tcPr>
            <w:tcW w:w="10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3,312</w:t>
            </w:r>
          </w:p>
        </w:tc>
        <w:tc>
          <w:tcPr>
            <w:tcW w:w="80" w:type="dxa"/>
            <w:vAlign w:val="bottom"/>
          </w:tcPr>
          <w:p>
            <w:pPr>
              <w:spacing w:after="0"/>
              <w:rPr>
                <w:sz w:val="15"/>
                <w:szCs w:val="15"/>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1,559</w:t>
            </w: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20,445</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20,816</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31,151</w:t>
            </w:r>
          </w:p>
        </w:tc>
      </w:tr>
      <w:tr>
        <w:trPr>
          <w:trHeight w:val="171"/>
        </w:trPr>
        <w:tc>
          <w:tcPr>
            <w:tcW w:w="20" w:type="dxa"/>
            <w:vAlign w:val="bottom"/>
          </w:tcPr>
          <w:p>
            <w:pPr>
              <w:spacing w:after="0"/>
              <w:rPr>
                <w:sz w:val="14"/>
                <w:szCs w:val="14"/>
                <w:color w:val="auto"/>
              </w:rPr>
            </w:pPr>
          </w:p>
        </w:tc>
        <w:tc>
          <w:tcPr>
            <w:tcW w:w="6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27,786</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25,631</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32,742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assets as a percentage of subsidiary assets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0.12 %</w:t>
            </w: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ACL as a percentage of non-performing loans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774 %</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799 %</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557 %</w:t>
            </w: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30-89 days past due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32,228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49,967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20,967</w:t>
            </w:r>
          </w:p>
        </w:tc>
      </w:tr>
      <w:tr>
        <w:trPr>
          <w:trHeight w:val="138"/>
        </w:trPr>
        <w:tc>
          <w:tcPr>
            <w:tcW w:w="20" w:type="dxa"/>
            <w:vAlign w:val="bottom"/>
          </w:tcPr>
          <w:p>
            <w:pPr>
              <w:spacing w:after="0"/>
              <w:rPr>
                <w:sz w:val="11"/>
                <w:szCs w:val="11"/>
                <w:color w:val="auto"/>
              </w:rPr>
            </w:pPr>
          </w:p>
        </w:tc>
        <w:tc>
          <w:tcPr>
            <w:tcW w:w="672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U.S. government guarantees included in</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6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non-performing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Pr>
          <w:p>
            <w:pPr>
              <w:spacing w:after="0"/>
              <w:rPr>
                <w:sz w:val="16"/>
                <w:szCs w:val="16"/>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2,312</w:t>
            </w:r>
          </w:p>
        </w:tc>
      </w:tr>
      <w:tr>
        <w:trPr>
          <w:trHeight w:val="181"/>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Interest income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1,450</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5" w:lineRule="exact"/>
        <w:rPr>
          <w:sz w:val="20"/>
          <w:szCs w:val="20"/>
          <w:color w:val="auto"/>
        </w:rPr>
      </w:pPr>
    </w:p>
    <w:p>
      <w:pPr>
        <w:ind w:left="140" w:hanging="135"/>
        <w:spacing w:after="0"/>
        <w:tabs>
          <w:tab w:leader="none" w:pos="14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represent estimated interest income that would have been recognized on loans accounted for on a non-accrual basis as of the end of each period had such loans performed pursuant to contractual terms.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Non-performing assets as a percentage of subsidiary assets at December 31, 2024 was 0.10 percent compared to 0.09 percent at the prior year end. Non-performing assets of $27.8 million at December 31, 2024 increased $2.2 million, or 8 percent, over the prior year end. Early stage delinquencies (accruing loans 30-89 days past due) as a percentage of loans at December 31, 2024 were 0.19 percent compared to 0.31 percent for the prior year end. Early stage delinquencies of $32.2 million at December 31, 2024 decreased $17.7 million from the prior year end.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accounting policies relating to non-performing assets, see Note 1 to the Consolidated Financial Statements 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auto"/>
        </w:rPr>
        <w:t>Modified Loans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If a loan is modified in response to a borrower’s financial difficulties such modification is known as a modification to a borrower experiencing financial difficulty (“MBFD”), and if the underlying loan is characterized as a loan. Each modified loan is separately negotiated with the borrower and includes terms and conditions that reflect the borrower’s prospective ability to service their obligations as modified. The Company discourages the use of multiple loans when modifying loans regardless of whether or not the loans are designated an MBFD. The Company had MBFD loans of $55.0 million and $60.6 million at December 31, 2024 and 2023, respectively. For additional information on MBFDs, see Note 3 to the Consolidated Financial Statement in “Item 8. Financial Statements and Supplementary Data.”</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Real Estate Owned and Foreclosed Assets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book value of loans prior to the acquisition of collateral and transfer of the loans into other real estate owned (“OREO”) and other foreclosed assets during 2024 was $1.2 million. The fair value of the loan collateral acquired in foreclosure during 2024 was $0.9 million. The following table sets forth the changes in OREO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989"/>
              <w:spacing w:after="0"/>
              <w:rPr>
                <w:sz w:val="20"/>
                <w:szCs w:val="20"/>
                <w:color w:val="auto"/>
              </w:rPr>
            </w:pPr>
            <w:r>
              <w:rPr>
                <w:rFonts w:ascii="Times New Roman" w:cs="Times New Roman" w:eastAsia="Times New Roman" w:hAnsi="Times New Roman"/>
                <w:sz w:val="14"/>
                <w:szCs w:val="14"/>
                <w:color w:val="auto"/>
              </w:rPr>
              <w:t>Years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jc w:val="right"/>
              <w:ind w:right="3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ind w:right="20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44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360" w:type="dxa"/>
            <w:vAlign w:val="bottom"/>
            <w:gridSpan w:val="3"/>
          </w:tcPr>
          <w:p>
            <w:pPr>
              <w:jc w:val="right"/>
              <w:ind w:right="469"/>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Additions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Write-downs</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Sales</w:t>
            </w: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Allowance for Credit Losses - Loans Receivable</w:t>
            </w: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16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allocation of the ACL as of the dates indicated:</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589"/>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60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Percent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of Loans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of Loans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ACL</w:t>
            </w: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Category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4"/>
                <w:szCs w:val="14"/>
                <w:color w:val="auto"/>
              </w:rPr>
              <w:t>ACL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Category</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25,181</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22,325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138,545</w:t>
            </w:r>
          </w:p>
        </w:tc>
        <w:tc>
          <w:tcPr>
            <w:tcW w:w="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130,924</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24,400</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21,194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11,766</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6,548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80" w:type="dxa"/>
            <w:vAlign w:val="bottom"/>
          </w:tcPr>
          <w:p>
            <w:pPr>
              <w:spacing w:after="0"/>
              <w:rPr>
                <w:sz w:val="14"/>
                <w:szCs w:val="14"/>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192,757</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0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summarizes the ACL experience for the periods indicated:</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At or for the Years ended</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120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2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469"/>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192,757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182,283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172,665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Acquisitions</w:t>
            </w:r>
          </w:p>
        </w:tc>
        <w:tc>
          <w:tcPr>
            <w:tcW w:w="20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8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27,179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20,790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17,433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Net (charge-offs) recoveries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Residential real estate</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spacing w:after="0"/>
              <w:rPr>
                <w:sz w:val="15"/>
                <w:szCs w:val="15"/>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(2,828)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(1,640)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commercial</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(3,956)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(2,256)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Home equity</w:t>
            </w:r>
          </w:p>
        </w:tc>
        <w:tc>
          <w:tcPr>
            <w:tcW w:w="20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(7,113)</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(6,455)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(6,267)</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860" w:type="dxa"/>
            <w:vAlign w:val="bottom"/>
            <w:tcBorders>
              <w:bottom w:val="single" w:sz="8" w:color="CCEEFF"/>
            </w:tcBorders>
            <w:gridSpan w:val="3"/>
          </w:tcPr>
          <w:p>
            <w:pPr>
              <w:ind w:left="860"/>
              <w:spacing w:after="0"/>
              <w:rPr>
                <w:sz w:val="20"/>
                <w:szCs w:val="20"/>
                <w:color w:val="auto"/>
              </w:rPr>
            </w:pPr>
            <w:r>
              <w:rPr>
                <w:rFonts w:ascii="Times New Roman" w:cs="Times New Roman" w:eastAsia="Times New Roman" w:hAnsi="Times New Roman"/>
                <w:sz w:val="14"/>
                <w:szCs w:val="14"/>
                <w:color w:val="auto"/>
              </w:rPr>
              <w:t>Net Charge-offs</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(13,898)</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(10,316)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(7,815)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860" w:type="dxa"/>
            <w:vAlign w:val="bottom"/>
            <w:tcBorders>
              <w:bottom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Balance at end of period</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206,041</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192,757</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182,283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ACL as a percentage of total loans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1.19 %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1.19 %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86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Non-accrual loans as a percentage of</w:t>
            </w: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6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loans</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0.12 %</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ACL as a percentage of non-accrual loans</w:t>
            </w:r>
          </w:p>
        </w:tc>
        <w:tc>
          <w:tcPr>
            <w:tcW w:w="20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1,007.78 %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926.01 %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585.16 %</w:t>
            </w:r>
          </w:p>
        </w:tc>
        <w:tc>
          <w:tcPr>
            <w:tcW w:w="0" w:type="dxa"/>
            <w:vAlign w:val="bottom"/>
          </w:tcPr>
          <w:p>
            <w:pPr>
              <w:spacing w:after="0"/>
              <w:rPr>
                <w:sz w:val="1"/>
                <w:szCs w:val="1"/>
                <w:color w:val="auto"/>
              </w:rPr>
            </w:pPr>
          </w:p>
        </w:tc>
      </w:tr>
      <w:tr>
        <w:trPr>
          <w:trHeight w:val="431"/>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summarizes net (charge-offs) recoveries as a percentage of average loans for the periods indicated:</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24"/>
                <w:szCs w:val="24"/>
                <w:color w:val="auto"/>
              </w:rPr>
            </w:pPr>
          </w:p>
        </w:tc>
        <w:tc>
          <w:tcPr>
            <w:tcW w:w="120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58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2023</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equity</w:t>
            </w:r>
          </w:p>
        </w:tc>
        <w:tc>
          <w:tcPr>
            <w:tcW w:w="20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net charge-offs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The ACL as a percentage of total loans outstanding at December 31 2024 was 1.19 percent which was unchanged from the prior year end. The Company’s ACL of $206 million is considered by management to be adequate to absorb the estimated credit losses from any segment of its loan portfolio based upon management’s best estimate of current expected credit losses within the existing portfolio of loans. Should any of the factors considered by management in making this estimate change, the Company’s estimate of current expected credit losses could also change, which could affect the level of future provision for credit losses related to loans. For the periods ended December 31, 2024 and 2023, the Company believes the ACL is commensurate with the risk in the Company’s loan portfolio and is directionally consistent with the change in the quality of the Company’s loan portfolio. During 2024 and 2023, provision for credit losses exceeded the charge-offs, net of recoveries, by $13.3 million and $13.0 million, respectively.</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the end of each quarter, the Company analyzes its loan portfolio and maintains an ACL at a level that is appropriate and determined in accordance with accounting principles generally accepted in the United States of America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factors.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4"/>
          <w:szCs w:val="14"/>
          <w:color w:val="auto"/>
        </w:rPr>
        <w:t>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provides commercial banking services to individuals, small to medium-sized businesses, community organizations and public entities from 227 locations, including 194 branches, across Montana, Idaho, Utah, Washington, Wyoming, Colorado, Arizona and Nevada. The states in which the Company operates have diverse economies and markets that are tied to commodities (crops, livestock, minerals, oil and natural gas), tourism, real estate and land development and an assortment of industries, both manufacturing and service-related. Thus, the changes in the global, national, and local economies are not uniform across the Company’s geographic locations. The geographic dispersion of these market areas helps to mitigate the risk of credit loss. The Company’s model of seventeen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the ACL, its relation to credit loss expense and risk related to asset quality, see Note 3 to the Consolidated Financial Statements in “Item 8. Financial Statements and Supplementary Data.”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Loans by Regulatory Classification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loan portfolio by regulatory classification: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20" w:type="dxa"/>
            <w:vAlign w:val="bottom"/>
          </w:tcPr>
          <w:p>
            <w:pPr>
              <w:jc w:val="right"/>
              <w:ind w:right="48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2"/>
                <w:szCs w:val="12"/>
                <w:color w:val="auto"/>
              </w:rPr>
            </w:pPr>
          </w:p>
        </w:tc>
        <w:tc>
          <w:tcPr>
            <w:tcW w:w="160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 and owner occupied construction</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(47,728)</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236,596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(44,670)</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residential construction</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(92,398)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development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land or lots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Unimproved land</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25,793</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29 %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lots for operative builders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lots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12,058</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construction</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693,461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900,547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(207,086)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1,352,290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1,552,124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(199,834)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 occupied</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3,197,138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3,035,768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161,370</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Non-owner occupied</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4,053,996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3,742,916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311,080</w:t>
            </w:r>
          </w:p>
        </w:tc>
        <w:tc>
          <w:tcPr>
            <w:tcW w:w="170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8 %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7,251,134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6,778,684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472,450</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1,395,997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1,363,479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32,518</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Agriculture</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772,458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252,062</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1st lien</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2,481,918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2,127,989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353,929</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17 %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lien</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29,073</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62 %</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1-4 family</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2,558,221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2,175,219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383,002</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 residential</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895,242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98,704</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1,005,783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979,891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25,892</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209,457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229,154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1,209,045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States and political subdivisions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834,947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148,654</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(20,217)</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loans receivable, including loans held for sale</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17,294,909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16,213,773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1,081,136</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Less loans held for sale </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(17,369)</w:t>
            </w:r>
          </w:p>
        </w:tc>
        <w:tc>
          <w:tcPr>
            <w:tcW w:w="170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111 %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16,198,082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1,063,767</w:t>
            </w:r>
          </w:p>
        </w:tc>
        <w:tc>
          <w:tcPr>
            <w:tcW w:w="170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5" w:lineRule="exact"/>
        <w:rPr>
          <w:sz w:val="20"/>
          <w:szCs w:val="20"/>
          <w:color w:val="auto"/>
        </w:rPr>
      </w:pPr>
    </w:p>
    <w:p>
      <w:pPr>
        <w:ind w:left="80" w:hanging="75"/>
        <w:spacing w:after="0"/>
        <w:tabs>
          <w:tab w:leader="none" w:pos="8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Loans held for sale are primarily 1st lien 1-4 family loans.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The following table summarizes the Company’s non-performing assets by regulatory classification: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Accruing</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rPr>
              <w:t>Loans 90</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Non-performing Assets,</w:t>
            </w:r>
          </w:p>
        </w:tc>
        <w:tc>
          <w:tcPr>
            <w:tcW w:w="14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7"/>
              </w:rPr>
              <w:t>Non-</w:t>
            </w:r>
          </w:p>
        </w:tc>
        <w:tc>
          <w:tcPr>
            <w:tcW w:w="14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color w:val="auto"/>
              </w:rPr>
              <w:t>Days or</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14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9"/>
              </w:rPr>
              <w:t>Accrual</w:t>
            </w:r>
          </w:p>
        </w:tc>
        <w:tc>
          <w:tcPr>
            <w:tcW w:w="142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rPr>
              <w:t>More Past</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w w:val="99"/>
              </w:rPr>
              <w:t>by Loan Type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Loans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Due</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OREO</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4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34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80" w:type="dxa"/>
            <w:vAlign w:val="bottom"/>
          </w:tcPr>
          <w:p>
            <w:pPr>
              <w:spacing w:after="0"/>
              <w:rPr>
                <w:sz w:val="12"/>
                <w:szCs w:val="12"/>
                <w:color w:val="auto"/>
              </w:rPr>
            </w:pPr>
          </w:p>
        </w:tc>
        <w:tc>
          <w:tcPr>
            <w:tcW w:w="1120" w:type="dxa"/>
            <w:vAlign w:val="bottom"/>
          </w:tcPr>
          <w:p>
            <w:pPr>
              <w:jc w:val="right"/>
              <w:ind w:right="4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60" w:type="dxa"/>
            <w:vAlign w:val="bottom"/>
            <w:gridSpan w:val="3"/>
          </w:tcPr>
          <w:p>
            <w:pPr>
              <w:jc w:val="right"/>
              <w:ind w:right="449"/>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0" w:type="dxa"/>
            <w:vAlign w:val="bottom"/>
            <w:tcBorders>
              <w:right w:val="single" w:sz="8" w:color="CCEEFF"/>
            </w:tcBorders>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 and owner occupied construction</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Borders>
              <w:right w:val="single" w:sz="8" w:color="CCEEFF"/>
            </w:tcBorders>
          </w:tcPr>
          <w:p>
            <w:pPr>
              <w:spacing w:after="0"/>
              <w:rPr>
                <w:sz w:val="14"/>
                <w:szCs w:val="14"/>
                <w:color w:val="auto"/>
              </w:rPr>
            </w:pPr>
          </w:p>
        </w:tc>
        <w:tc>
          <w:tcPr>
            <w:tcW w:w="41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residential construction</w:t>
            </w: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development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land or lots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Developed lots for operative builders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lots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 occupied</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Non-owner occupied</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11,016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Borders>
              <w:right w:val="single" w:sz="8" w:color="CCEEFF"/>
            </w:tcBorders>
          </w:tcPr>
          <w:p>
            <w:pPr>
              <w:spacing w:after="0"/>
              <w:rPr>
                <w:sz w:val="14"/>
                <w:szCs w:val="14"/>
                <w:color w:val="auto"/>
              </w:rPr>
            </w:pPr>
          </w:p>
        </w:tc>
        <w:tc>
          <w:tcPr>
            <w:tcW w:w="41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Agriculture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1st lien</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lien</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1-4 family</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9,368</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 residential</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consumer</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20,445</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3"/>
          </w:tcPr>
          <w:p>
            <w:pPr>
              <w:jc w:val="right"/>
              <w:ind w:right="120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The following table summarizes the Company’s accruing loans 30-89 days past due by regulatory classification:</w:t>
      </w:r>
    </w:p>
    <w:p>
      <w:pPr>
        <w:spacing w:after="0" w:line="34"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4"/>
          <w:szCs w:val="14"/>
          <w:color w:val="auto"/>
        </w:rPr>
        <w:t>Accruing 30-89 Days Delinquent Loans, by Loan</w:t>
      </w:r>
    </w:p>
    <w:p>
      <w:pPr>
        <w:jc w:val="center"/>
        <w:ind w:left="1840"/>
        <w:spacing w:after="0"/>
        <w:rPr>
          <w:sz w:val="20"/>
          <w:szCs w:val="20"/>
          <w:color w:val="auto"/>
        </w:rPr>
      </w:pPr>
      <w:r>
        <w:rPr>
          <w:rFonts w:ascii="Times New Roman" w:cs="Times New Roman" w:eastAsia="Times New Roman" w:hAnsi="Times New Roman"/>
          <w:sz w:val="14"/>
          <w:szCs w:val="14"/>
          <w:color w:val="auto"/>
        </w:rPr>
        <w:t>Type</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120"/>
              <w:spacing w:after="0" w:line="140" w:lineRule="exact"/>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69"/>
              <w:spacing w:after="0" w:line="140" w:lineRule="exact"/>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369"/>
              <w:spacing w:after="0" w:line="129" w:lineRule="exact"/>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2"/>
                <w:szCs w:val="12"/>
                <w:color w:val="auto"/>
              </w:rPr>
            </w:pPr>
          </w:p>
        </w:tc>
        <w:tc>
          <w:tcPr>
            <w:tcW w:w="160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color w:val="auto"/>
              </w:rPr>
              <w:t>% Change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1"/>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 and owner occupied construction</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r>
      <w:tr>
        <w:trPr>
          <w:trHeight w:val="180"/>
        </w:trPr>
        <w:tc>
          <w:tcPr>
            <w:tcW w:w="5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residential construction</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18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Land development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790 %</w:t>
            </w:r>
          </w:p>
        </w:tc>
      </w:tr>
      <w:tr>
        <w:trPr>
          <w:trHeight w:val="18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land or lots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8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Unimproved land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lots for operative builders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Commercial lots</w:t>
            </w: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7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8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Owner occupied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29 %</w:t>
            </w:r>
          </w:p>
        </w:tc>
      </w:tr>
      <w:tr>
        <w:trPr>
          <w:trHeight w:val="18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Non-owner occupied</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8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Agriculture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1st lien</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68 %</w:t>
            </w:r>
          </w:p>
        </w:tc>
      </w:tr>
      <w:tr>
        <w:trPr>
          <w:trHeight w:val="180"/>
        </w:trPr>
        <w:tc>
          <w:tcPr>
            <w:tcW w:w="5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Junior lien</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70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21,300 %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1-4 family</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74 %</w:t>
            </w:r>
          </w:p>
        </w:tc>
      </w:tr>
      <w:tr>
        <w:trPr>
          <w:trHeight w:val="18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8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8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7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13 %</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32,228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measurable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The following table summarizes the Company’s charge-offs and recoveries by regulatory classification: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Net Charge-Offs (Recoveries), Years ended, By</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Loan Type</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Charge-Offs</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Recoveries</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1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8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Pr>
          <w:p>
            <w:pPr>
              <w:spacing w:after="0"/>
              <w:rPr>
                <w:sz w:val="12"/>
                <w:szCs w:val="12"/>
                <w:color w:val="auto"/>
              </w:rPr>
            </w:pPr>
          </w:p>
        </w:tc>
        <w:tc>
          <w:tcPr>
            <w:tcW w:w="132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Pr>
          <w:p>
            <w:pPr>
              <w:spacing w:after="0"/>
              <w:rPr>
                <w:sz w:val="12"/>
                <w:szCs w:val="12"/>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Pre-sold and spec construction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Land development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land or lots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Unimproved land</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lots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construction</w:t>
            </w:r>
          </w:p>
        </w:tc>
        <w:tc>
          <w:tcPr>
            <w:tcW w:w="120" w:type="dxa"/>
            <w:vAlign w:val="bottom"/>
          </w:tcPr>
          <w:p>
            <w:pPr>
              <w:spacing w:after="0"/>
              <w:rPr>
                <w:sz w:val="15"/>
                <w:szCs w:val="15"/>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land, lot and other construction</w:t>
            </w: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Owner occupied</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Non-owner occupied</w:t>
            </w: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4"/>
                <w:szCs w:val="14"/>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Agriculture</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1st lien</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Junior lien</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1-4 family</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 residential</w:t>
            </w:r>
          </w:p>
        </w:tc>
        <w:tc>
          <w:tcPr>
            <w:tcW w:w="120" w:type="dxa"/>
            <w:vAlign w:val="bottom"/>
          </w:tcPr>
          <w:p>
            <w:pPr>
              <w:spacing w:after="0"/>
              <w:rPr>
                <w:sz w:val="15"/>
                <w:szCs w:val="15"/>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20" w:type="dxa"/>
            <w:vAlign w:val="bottom"/>
          </w:tcPr>
          <w:p>
            <w:pPr>
              <w:spacing w:after="0"/>
              <w:rPr>
                <w:sz w:val="15"/>
                <w:szCs w:val="15"/>
                <w:color w:val="auto"/>
              </w:rPr>
            </w:pPr>
          </w:p>
        </w:tc>
      </w:tr>
      <w:tr>
        <w:trPr>
          <w:trHeight w:val="171"/>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0" w:type="dxa"/>
            <w:vAlign w:val="bottom"/>
          </w:tcPr>
          <w:p>
            <w:pPr>
              <w:spacing w:after="0"/>
              <w:rPr>
                <w:sz w:val="14"/>
                <w:szCs w:val="14"/>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11,967</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20" w:type="dxa"/>
            <w:vAlign w:val="bottom"/>
          </w:tcPr>
          <w:p>
            <w:pPr>
              <w:spacing w:after="0"/>
              <w:rPr>
                <w:sz w:val="15"/>
                <w:szCs w:val="15"/>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10,316</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18,626</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w:t>
            </w: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Sources of Funds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deposits have traditionally been the principal source of funds for use in lending and other business purposes. The Company also obtains funds from repayment of loans and debt</w:t>
      </w:r>
    </w:p>
    <w:p>
      <w:pPr>
        <w:spacing w:after="0" w:line="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securities, securities sold under agreements to repurchase (“repurchase agreements”), wholesale deposits, advances from FHLB, Federal Reserve facilities,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Deposits</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NOW,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3"/>
                <w:szCs w:val="13"/>
                <w:color w:val="auto"/>
                <w:w w:val="97"/>
              </w:rPr>
              <w:t>December 31, 2024</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3"/>
                <w:szCs w:val="13"/>
                <w:color w:val="auto"/>
                <w:w w:val="97"/>
              </w:rPr>
              <w:t>December 31, 2023</w:t>
            </w:r>
          </w:p>
        </w:tc>
        <w:tc>
          <w:tcPr>
            <w:tcW w:w="72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62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(Dollars in thousands)</w:t>
            </w:r>
          </w:p>
        </w:tc>
        <w:tc>
          <w:tcPr>
            <w:tcW w:w="280" w:type="dxa"/>
            <w:vAlign w:val="bottom"/>
          </w:tcPr>
          <w:p>
            <w:pPr>
              <w:spacing w:after="0"/>
              <w:rPr>
                <w:sz w:val="10"/>
                <w:szCs w:val="10"/>
                <w:color w:val="auto"/>
              </w:rPr>
            </w:pPr>
          </w:p>
        </w:tc>
        <w:tc>
          <w:tcPr>
            <w:tcW w:w="1480" w:type="dxa"/>
            <w:vAlign w:val="bottom"/>
            <w:gridSpan w:val="3"/>
          </w:tcPr>
          <w:p>
            <w:pPr>
              <w:ind w:left="180"/>
              <w:spacing w:after="0" w:line="107" w:lineRule="exact"/>
              <w:rPr>
                <w:sz w:val="20"/>
                <w:szCs w:val="20"/>
                <w:color w:val="auto"/>
              </w:rPr>
            </w:pPr>
            <w:r>
              <w:rPr>
                <w:rFonts w:ascii="Times New Roman" w:cs="Times New Roman" w:eastAsia="Times New Roman" w:hAnsi="Times New Roman"/>
                <w:sz w:val="12"/>
                <w:szCs w:val="12"/>
                <w:color w:val="auto"/>
              </w:rPr>
              <w:t>Amount</w:t>
            </w:r>
          </w:p>
        </w:tc>
        <w:tc>
          <w:tcPr>
            <w:tcW w:w="720" w:type="dxa"/>
            <w:vAlign w:val="bottom"/>
          </w:tcPr>
          <w:p>
            <w:pPr>
              <w:jc w:val="right"/>
              <w:ind w:right="257"/>
              <w:spacing w:after="0" w:line="107" w:lineRule="exact"/>
              <w:rPr>
                <w:sz w:val="20"/>
                <w:szCs w:val="20"/>
                <w:color w:val="auto"/>
              </w:rPr>
            </w:pPr>
            <w:r>
              <w:rPr>
                <w:rFonts w:ascii="Times New Roman" w:cs="Times New Roman" w:eastAsia="Times New Roman" w:hAnsi="Times New Roman"/>
                <w:sz w:val="12"/>
                <w:szCs w:val="12"/>
                <w:color w:val="auto"/>
              </w:rPr>
              <w:t>Percent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3"/>
          </w:tcPr>
          <w:p>
            <w:pPr>
              <w:ind w:left="200"/>
              <w:spacing w:after="0" w:line="107" w:lineRule="exact"/>
              <w:rPr>
                <w:sz w:val="20"/>
                <w:szCs w:val="20"/>
                <w:color w:val="auto"/>
              </w:rPr>
            </w:pPr>
            <w:r>
              <w:rPr>
                <w:rFonts w:ascii="Times New Roman" w:cs="Times New Roman" w:eastAsia="Times New Roman" w:hAnsi="Times New Roman"/>
                <w:sz w:val="12"/>
                <w:szCs w:val="12"/>
                <w:color w:val="auto"/>
              </w:rPr>
              <w:t>Amount</w:t>
            </w:r>
          </w:p>
        </w:tc>
        <w:tc>
          <w:tcPr>
            <w:tcW w:w="720" w:type="dxa"/>
            <w:vAlign w:val="bottom"/>
          </w:tcPr>
          <w:p>
            <w:pPr>
              <w:jc w:val="right"/>
              <w:ind w:right="257"/>
              <w:spacing w:after="0" w:line="107" w:lineRule="exact"/>
              <w:rPr>
                <w:sz w:val="20"/>
                <w:szCs w:val="20"/>
                <w:color w:val="auto"/>
              </w:rPr>
            </w:pPr>
            <w:r>
              <w:rPr>
                <w:rFonts w:ascii="Times New Roman" w:cs="Times New Roman" w:eastAsia="Times New Roman" w:hAnsi="Times New Roman"/>
                <w:sz w:val="12"/>
                <w:szCs w:val="12"/>
                <w:color w:val="auto"/>
              </w:rPr>
              <w:t>Percent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Non-interest bearing deposits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6,136,709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6,022,980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68"/>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NOW and DDA accounts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5,543,512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5,321,257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72"/>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Savings accounts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2,845,124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2,833,887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68"/>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Money market deposit accounts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2,878,213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2,831,624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72"/>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Certificate accounts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3,139,821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2,915,393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68"/>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Wholesale deposits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62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interest bearing deposits</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14,410,285</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13,906,187</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r>
      <w:tr>
        <w:trPr>
          <w:trHeight w:val="163"/>
        </w:trPr>
        <w:tc>
          <w:tcPr>
            <w:tcW w:w="20" w:type="dxa"/>
            <w:vAlign w:val="bottom"/>
          </w:tcPr>
          <w:p>
            <w:pPr>
              <w:spacing w:after="0"/>
              <w:rPr>
                <w:sz w:val="14"/>
                <w:szCs w:val="14"/>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Total deposits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20,546,994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19,929,167</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estimated uninsured deposits were $6.544 billion and $6.081 billion at December 31, 2024 and December 31, 2023, respectively. The following table summarizes the estimated amounts outstanding at December 31, 2024 for uninsured time deposits according to the time remaining to maturity.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Certificates</w:t>
            </w:r>
          </w:p>
        </w:tc>
      </w:tr>
      <w:tr>
        <w:trPr>
          <w:trHeight w:val="149"/>
        </w:trPr>
        <w:tc>
          <w:tcPr>
            <w:tcW w:w="20" w:type="dxa"/>
            <w:vAlign w:val="bottom"/>
          </w:tcPr>
          <w:p>
            <w:pPr>
              <w:spacing w:after="0"/>
              <w:rPr>
                <w:sz w:val="12"/>
                <w:szCs w:val="12"/>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220" w:type="dxa"/>
            <w:vAlign w:val="bottom"/>
          </w:tcPr>
          <w:p>
            <w:pPr>
              <w:jc w:val="right"/>
              <w:ind w:right="349"/>
              <w:spacing w:after="0" w:line="149" w:lineRule="exact"/>
              <w:rPr>
                <w:sz w:val="20"/>
                <w:szCs w:val="20"/>
                <w:color w:val="auto"/>
              </w:rPr>
            </w:pPr>
            <w:r>
              <w:rPr>
                <w:rFonts w:ascii="Times New Roman" w:cs="Times New Roman" w:eastAsia="Times New Roman" w:hAnsi="Times New Roman"/>
                <w:sz w:val="14"/>
                <w:szCs w:val="14"/>
                <w:color w:val="auto"/>
              </w:rPr>
              <w:t>of Deposit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Within three months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694,754</w:t>
            </w:r>
          </w:p>
        </w:tc>
      </w:tr>
      <w:tr>
        <w:trPr>
          <w:trHeight w:val="180"/>
        </w:trPr>
        <w:tc>
          <w:tcPr>
            <w:tcW w:w="20" w:type="dxa"/>
            <w:vAlign w:val="bottom"/>
          </w:tcPr>
          <w:p>
            <w:pPr>
              <w:spacing w:after="0"/>
              <w:rPr>
                <w:sz w:val="15"/>
                <w:szCs w:val="15"/>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to six months</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247,273</w:t>
            </w:r>
          </w:p>
        </w:tc>
      </w:tr>
      <w:tr>
        <w:trPr>
          <w:trHeight w:val="180"/>
        </w:trPr>
        <w:tc>
          <w:tcPr>
            <w:tcW w:w="20" w:type="dxa"/>
            <w:vAlign w:val="bottom"/>
            <w:shd w:val="clear" w:color="auto" w:fill="CCEEFF"/>
          </w:tcPr>
          <w:p>
            <w:pPr>
              <w:spacing w:after="0"/>
              <w:rPr>
                <w:sz w:val="15"/>
                <w:szCs w:val="15"/>
                <w:color w:val="auto"/>
              </w:rPr>
            </w:pPr>
          </w:p>
        </w:tc>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Seven months to twelve months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123,487</w:t>
            </w:r>
          </w:p>
        </w:tc>
      </w:tr>
      <w:tr>
        <w:trPr>
          <w:trHeight w:val="180"/>
        </w:trPr>
        <w:tc>
          <w:tcPr>
            <w:tcW w:w="20" w:type="dxa"/>
            <w:vAlign w:val="bottom"/>
            <w:tcBorders>
              <w:bottom w:val="single" w:sz="8" w:color="CCEEFF"/>
            </w:tcBorders>
          </w:tcPr>
          <w:p>
            <w:pPr>
              <w:spacing w:after="0"/>
              <w:rPr>
                <w:sz w:val="15"/>
                <w:szCs w:val="15"/>
                <w:color w:val="auto"/>
              </w:rPr>
            </w:pPr>
          </w:p>
        </w:tc>
        <w:tc>
          <w:tcPr>
            <w:tcW w:w="9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Over twelve months</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23,649</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8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1,089,163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deposits, see Note 8 to the Consolidated Financial Statements in “Item 8. Financial Statements and Supplementary Data.”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auto"/>
        </w:rPr>
        <w:t>Borrowings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borrows money through repurchase agreements. This process involves the selling of one or more of the securities in the Company’s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Company periodically enters into wholesale repurchase agreements as additional funding sources. The Company has not entered into reverse repurchase agreements.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calculation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Company.</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first quarter of 2023, the Federal Reserve Bank (“FRB”) offered a new Bank Term Funding Program (“BTFP”) for eligible depository institutions. The BTFP offered loans of up to one year in length to institutions pledging collateral eligible for purchase by the FRB in open market operations such as U.S. Treasuries, U.S. Agency securities, and U.S. agency mortgage-backed securities. These assets were valued at par value. During 2023 the Company borrowed $2.740 billion from the BTFP which enabled the Company to pay off higher rate FHLB advances and support its liquidity position at that time. In the first quarter of 2024, the Company paid off all of the BTFP borrowings through a combination of the FHLB borrowings, cash, and additional sources of liquidity.</w:t>
      </w:r>
    </w:p>
    <w:p>
      <w:pPr>
        <w:spacing w:after="0" w:line="3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 Company has other sources of secured and unsecured borrowing lines from various sources that may be used from time to time. For additional information concerning the Company’s borrowings, see Note 9 to the Consolidated Financial Statements in “Item 8. Financial Statements and Supplementary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Short-term borrowings</w:t>
      </w:r>
    </w:p>
    <w:p>
      <w:pPr>
        <w:spacing w:after="0" w:line="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changes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Subordinated Debentures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addition to funds obtained in the ordinary course of business, the Company formed or acquired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December 31, 2024. The subordinated debentures outstanding as of December 31, 2024 were $133 million, including fair value adjustments from acquisitions. For additional information regarding the subordinated debentures, see Note 10 to the Consolidated Financial Statements in “Item 8. Financial Statements and Supplementary Data.”</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Liquidity Risk</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normal course of business, the Company has commitments that require significant cash availability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objective of liquidity management is to maintain cash flows adequate to meet current and future needs for credit demand, deposit withdrawals, maturing liabilities and corporate operating expenses. Effective liquidity management entails three elements:</w:t>
      </w:r>
    </w:p>
    <w:p>
      <w:pPr>
        <w:spacing w:after="0" w:line="145"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on an ongoing basis, the current and expected future needs for funds, and ensuring that sufficient funds or access to funds exist to meet those needs at the appropriate time;</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for an adequate cushion of liquidity to meet unanticipated cash flow needs that may arise from potential adverse circumstances ranging from high probability/low severity events to low probability/high severity; and</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balancing the benefits between providing for adequate liquidity to mitigate potential adverse events and the cost of that liquidity.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During 2024, the amount of unencumbered securities increased primarily as a result of pledging securities to collateralize borrowings from 2023 that were released in 2024. The Company evaluates its potential funding needs across alternative scenarios and maintains contingency funding plans consistent with the Company’s access to diversified sources of contingent funding.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identifies certain liquidity sources and capacity available to the Company as of the dates indicated:</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Borrowing capacity</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4,355,976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4,444,588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 utilized</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Letters of credit and other pledged collateral</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 available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2,549,811</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4,442,261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FRB discount window</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Borrowing capacity</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1,860,932</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1,916,312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Amount utilized</w:t>
            </w:r>
          </w:p>
        </w:tc>
        <w:tc>
          <w:tcPr>
            <w:tcW w:w="2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 available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1,860,932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1,916,312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FRB Bank Term Funding Program</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Borrowing capacity</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2,853,209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Amount utilized</w:t>
            </w:r>
          </w:p>
        </w:tc>
        <w:tc>
          <w:tcPr>
            <w:tcW w:w="2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 available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Unsecured lines of credit available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40" w:type="dxa"/>
            <w:vAlign w:val="bottom"/>
            <w:gridSpan w:val="2"/>
            <w:vMerge w:val="continue"/>
          </w:tcPr>
          <w:p>
            <w:pPr>
              <w:spacing w:after="0"/>
              <w:rPr>
                <w:sz w:val="12"/>
                <w:szCs w:val="12"/>
                <w:color w:val="auto"/>
              </w:rPr>
            </w:pPr>
          </w:p>
        </w:tc>
        <w:tc>
          <w:tcPr>
            <w:tcW w:w="24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525,000</w:t>
            </w:r>
          </w:p>
        </w:tc>
        <w:tc>
          <w:tcPr>
            <w:tcW w:w="100" w:type="dxa"/>
            <w:vAlign w:val="bottom"/>
          </w:tcPr>
          <w:p>
            <w:pPr>
              <w:spacing w:after="0"/>
              <w:rPr>
                <w:sz w:val="12"/>
                <w:szCs w:val="12"/>
                <w:color w:val="auto"/>
              </w:rPr>
            </w:pPr>
          </w:p>
        </w:tc>
        <w:tc>
          <w:tcPr>
            <w:tcW w:w="15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565,000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Unencumbered debt securities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608,979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473,084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301,990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907,832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998,923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615,310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127,328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837,169</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ind w:left="500"/>
              <w:spacing w:after="0" w:line="171" w:lineRule="exact"/>
              <w:rPr>
                <w:sz w:val="20"/>
                <w:szCs w:val="20"/>
                <w:color w:val="auto"/>
              </w:rPr>
            </w:pPr>
            <w:r>
              <w:rPr>
                <w:rFonts w:ascii="Times New Roman" w:cs="Times New Roman" w:eastAsia="Times New Roman" w:hAnsi="Times New Roman"/>
                <w:sz w:val="14"/>
                <w:szCs w:val="14"/>
                <w:color w:val="auto"/>
              </w:rPr>
              <w:t xml:space="preserve">Total unencumbered debt securities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3,285,783</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3" w:lineRule="exact"/>
        <w:rPr>
          <w:sz w:val="20"/>
          <w:szCs w:val="20"/>
          <w:color w:val="auto"/>
        </w:rPr>
      </w:pPr>
    </w:p>
    <w:p>
      <w:pPr>
        <w:ind w:firstLine="5"/>
        <w:spacing w:after="0" w:line="217" w:lineRule="auto"/>
        <w:tabs>
          <w:tab w:leader="none" w:pos="62"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unencumbered debt securities at December 31, 2024, included $1.6 billion classified as AFS and $1.6 billion classified as HTM. Total unencumbered debt securities at December 31, 2023, included $441.5 million classified as AFS, and $1.4 billion classified as HTM.</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auto"/>
        </w:rPr>
        <w:t>Contractual Obligations and Off-Balance Sheet Arrangements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December 31, 2024 and determined its ACL of $20.4 million was adequate to absorb the estimated credit losses. Such ACL is included in other liabilities. For additional information regarding the Company’s ACL, see “Allowance for Credit Losses - Loans Receivable” above.</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VIEs, see Note 7 to the Consolidated Financial Statements in “Item 8. Financial Statements and Supplementary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Resources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Maintaining capital strength continues to be a long-term objective of the Company. High levels of capital are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113,401,955 have been issued as of December 31, 2024. The Company also has the capacity to issue 1,000,000 shares of preferred stock of which none have been issued as of December 31, 2024. Conversely, the Company may in the future decide to utilize a portion of its strong capital position, as it has done in the past, to repurchase shares of its outstanding common stock, depending on market price and other relevant considerations.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December 31, 2024, management believes the Company and Bank meet all capital adequacy requirements to which they are subject and there are no conditions or events subsequent to this date that management believes have changed the Company’s or Bank’s risk-based capital category.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illustrates the Bank’s regulatory capital ratios and the Federal Reserve’s capital adequacy guidelines as of December 31, 2024:</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Total Capital (To Risk-</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Tier 1 Capital (To Risk-</w:t>
            </w:r>
          </w:p>
        </w:tc>
        <w:tc>
          <w:tcPr>
            <w:tcW w:w="16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rPr>
              <w:t>Common Equity Tier 1</w:t>
            </w:r>
          </w:p>
        </w:tc>
        <w:tc>
          <w:tcPr>
            <w:tcW w:w="1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Leverage Ratio/</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9"/>
              </w:rPr>
              <w:t>(To Risk-Weighted</w:t>
            </w: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Tier 1 Capital (To</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Weighted Assets)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Weighted Assets)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Average Assets)</w:t>
            </w:r>
          </w:p>
        </w:tc>
        <w:tc>
          <w:tcPr>
            <w:tcW w:w="0" w:type="dxa"/>
            <w:vAlign w:val="bottom"/>
          </w:tcPr>
          <w:p>
            <w:pPr>
              <w:spacing w:after="0"/>
              <w:rPr>
                <w:sz w:val="1"/>
                <w:szCs w:val="1"/>
                <w:color w:val="auto"/>
              </w:rPr>
            </w:pP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Glacier Bank actual regulatory ratios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13.59 %</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8.77 %</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capital requirements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4.00 %</w:t>
            </w:r>
          </w:p>
        </w:tc>
        <w:tc>
          <w:tcPr>
            <w:tcW w:w="0" w:type="dxa"/>
            <w:vAlign w:val="bottom"/>
          </w:tcPr>
          <w:p>
            <w:pPr>
              <w:spacing w:after="0"/>
              <w:rPr>
                <w:sz w:val="1"/>
                <w:szCs w:val="1"/>
                <w:color w:val="auto"/>
              </w:rPr>
            </w:pPr>
          </w:p>
        </w:tc>
      </w:tr>
      <w:tr>
        <w:trPr>
          <w:trHeight w:val="138"/>
        </w:trPr>
        <w:tc>
          <w:tcPr>
            <w:tcW w:w="4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Minimum capital requirements plus capital</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conservation buffer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Well capitalized requirements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6"/>
                <w:szCs w:val="16"/>
                <w:color w:val="auto"/>
              </w:rPr>
            </w:pPr>
          </w:p>
        </w:tc>
        <w:tc>
          <w:tcPr>
            <w:tcW w:w="15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January 1, 2020, the Company adopted the current expected credit losses (“CECL”) accounting standard that requires management’s estimate of credit losses over the expected contractual lives of the Company's relevant financial assets. On March 27, 2020, federal banking regulators issued an interim final rule to delay for two years the initial adoption impact of CECL on regulatory capital, followed by a three-year transition period to phase out the aggregate amount of the capital benefit provided during 2020 and 2021 (i.e., a five-year transition period). The Company has elected to utilize the five-year transition period. During the two-year delay, the Company added back to Common Tier 1 capital 100 percent of the initial adoption impact of CECL plus 25 percent of the cumulative quarterly changes in ACL (i.e., quarterly transitional amounts). Starting on January 1, 2022, the quarterly transitional amounts along with the initial adoption impact of CECL were phased out of Common Tier 1 capital evenly over the three-year period ending at the end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regulatory capital, see Note 12 to the Consolidated Financial Statements in “Item 8. Financial Statements and Supplementary Data.”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Federal and State Income Taxes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5.70 percent in Idaho, 4.55 percent in Utah, 4.25 percent in Colorado and 4.90 percent in Arizona. Washington, Wyoming and Nevada do not impose a corporate income tax. The Company is also required to file in states other than the eight states in which it has properties.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Income tax expense for the years ended December 31, 2024 and 2023 was $36.2 million and $44.7 million, respectively. The Company’s effective income tax rate for the years ended December 31, 2024 and 2023 was 16.0 percent and 16.7 percent, respectively. The current and prior year’s low effective income tax rates were due to income from tax-exempt debt securities, municipal loans and leases and benefits from federal income tax credits. Income from tax-exempt debt securities, loans and leases was $84.2 million and $80.2 million for the years ended December 31, 2024 and 2023, respectively. Benefits from Low-Income Housing Tax Credits (“LIHTC”) federal income tax credits were $25.4 million and $19.9 million for the years ended December 31, 2024 and 2023, respectively.</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has equity investments in Certified Development Entities (“CDE”) which have received allocations of New Markets Tax Credits (“NMTC”). Administered by the Community Development Financial Institutions Fund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LIHTC’s which are indirect federal subsidies used to finance the development of affordable rental housing for low-income households. The federal income tax credits are claimed over a ten-year credit allowance period. The Company has investments of $11.8 million in Qualified School Construction bonds whereby the Company receives quarterly federal income tax credits in lieu of taxable interest income. The federal income tax credits on these debt securities are subject to federal and state income tax. The Company has investments in historic tax credits that are claimed over a five-year credit allowance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list of expected federal income tax credits to be received in the years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New</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Low-Income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Debt</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Markets</w:t>
            </w:r>
          </w:p>
        </w:tc>
        <w:tc>
          <w:tcPr>
            <w:tcW w:w="15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Housing</w:t>
            </w:r>
          </w:p>
        </w:tc>
        <w:tc>
          <w:tcPr>
            <w:tcW w:w="1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Securities</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4"/>
                <w:szCs w:val="14"/>
                <w:color w:val="auto"/>
                <w:w w:val="97"/>
              </w:rPr>
              <w:t>Tax Credits</w:t>
            </w:r>
          </w:p>
        </w:tc>
        <w:tc>
          <w:tcPr>
            <w:tcW w:w="1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Tax Credits</w:t>
            </w:r>
          </w:p>
        </w:tc>
        <w:tc>
          <w:tcPr>
            <w:tcW w:w="15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7"/>
              </w:rPr>
              <w:t>Tax Credits</w:t>
            </w:r>
          </w:p>
        </w:tc>
        <w:tc>
          <w:tcPr>
            <w:tcW w:w="15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4"/>
                <w:szCs w:val="14"/>
                <w:color w:val="auto"/>
              </w:rPr>
              <w:t>Historic Tax Credits</w:t>
            </w:r>
          </w:p>
        </w:tc>
        <w:tc>
          <w:tcPr>
            <w:tcW w:w="1460" w:type="dxa"/>
            <w:vAlign w:val="bottom"/>
          </w:tcPr>
          <w:p>
            <w:pPr>
              <w:jc w:val="right"/>
              <w:ind w:right="509"/>
              <w:spacing w:after="0" w:line="122" w:lineRule="exact"/>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6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33,579</w:t>
            </w:r>
          </w:p>
        </w:tc>
      </w:tr>
      <w:tr>
        <w:trPr>
          <w:trHeight w:val="18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34,656</w:t>
            </w:r>
          </w:p>
        </w:tc>
      </w:tr>
      <w:tr>
        <w:trPr>
          <w:trHeight w:val="180"/>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27,058</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33,035</w:t>
            </w:r>
          </w:p>
        </w:tc>
      </w:tr>
      <w:tr>
        <w:trPr>
          <w:trHeight w:val="18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28,093</w:t>
            </w:r>
          </w:p>
        </w:tc>
      </w:tr>
      <w:tr>
        <w:trPr>
          <w:trHeight w:val="180"/>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25,123</w:t>
            </w: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82,422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83,596</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income taxes, see Note 16 to the Consolidated Financial Statements in “Item 8. Financial Statements and Supplementary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 Sheet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Years ended</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w w:val="95"/>
              </w:rPr>
              <w:t>December 31, 2024</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w w:val="95"/>
              </w:rPr>
              <w:t>December 31, 2023</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w w:val="95"/>
              </w:rPr>
              <w:t>December 31, 2022</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Average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57"/>
              <w:spacing w:after="0" w:line="120" w:lineRule="exact"/>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5"/>
              </w:rPr>
              <w:t>Average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Average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7"/>
              <w:spacing w:after="0" w:line="120" w:lineRule="exact"/>
              <w:rPr>
                <w:sz w:val="20"/>
                <w:szCs w:val="20"/>
                <w:color w:val="auto"/>
              </w:rPr>
            </w:pPr>
            <w:r>
              <w:rPr>
                <w:rFonts w:ascii="Times New Roman" w:cs="Times New Roman" w:eastAsia="Times New Roman" w:hAnsi="Times New Roman"/>
                <w:sz w:val="13"/>
                <w:szCs w:val="13"/>
                <w:color w:val="auto"/>
                <w:w w:val="97"/>
              </w:rPr>
              <w:t>Interest</w:t>
            </w:r>
          </w:p>
        </w:tc>
        <w:tc>
          <w:tcPr>
            <w:tcW w:w="10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5"/>
              </w:rPr>
              <w:t>Average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Average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7"/>
              <w:spacing w:after="0" w:line="120" w:lineRule="exact"/>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color w:val="auto"/>
                <w:w w:val="95"/>
              </w:rPr>
              <w:t>Average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color w:val="auto"/>
              </w:rPr>
              <w:t>and</w:t>
            </w:r>
          </w:p>
        </w:tc>
        <w:tc>
          <w:tcPr>
            <w:tcW w:w="100" w:type="dxa"/>
            <w:vAlign w:val="bottom"/>
          </w:tcPr>
          <w:p>
            <w:pPr>
              <w:spacing w:after="0"/>
              <w:rPr>
                <w:sz w:val="11"/>
                <w:szCs w:val="11"/>
                <w:color w:val="auto"/>
              </w:rPr>
            </w:pPr>
          </w:p>
        </w:tc>
        <w:tc>
          <w:tcPr>
            <w:tcW w:w="9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color w:val="auto"/>
                <w:w w:val="98"/>
              </w:rPr>
              <w:t>Yield/</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color w:val="auto"/>
                <w:w w:val="95"/>
              </w:rPr>
              <w:t>and</w:t>
            </w:r>
          </w:p>
        </w:tc>
        <w:tc>
          <w:tcPr>
            <w:tcW w:w="100" w:type="dxa"/>
            <w:vAlign w:val="bottom"/>
          </w:tcPr>
          <w:p>
            <w:pPr>
              <w:spacing w:after="0"/>
              <w:rPr>
                <w:sz w:val="11"/>
                <w:szCs w:val="11"/>
                <w:color w:val="auto"/>
              </w:rPr>
            </w:pPr>
          </w:p>
        </w:tc>
        <w:tc>
          <w:tcPr>
            <w:tcW w:w="9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color w:val="auto"/>
                <w:w w:val="98"/>
              </w:rPr>
              <w:t>Yield/</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color w:val="auto"/>
              </w:rPr>
              <w:t>and</w:t>
            </w:r>
          </w:p>
        </w:tc>
        <w:tc>
          <w:tcPr>
            <w:tcW w:w="10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Yield/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(Dollars in thousands)</w:t>
            </w:r>
          </w:p>
        </w:tc>
        <w:tc>
          <w:tcPr>
            <w:tcW w:w="180" w:type="dxa"/>
            <w:vAlign w:val="bottom"/>
          </w:tcPr>
          <w:p>
            <w:pPr>
              <w:spacing w:after="0"/>
              <w:rPr>
                <w:sz w:val="11"/>
                <w:szCs w:val="11"/>
                <w:color w:val="auto"/>
              </w:rPr>
            </w:pPr>
          </w:p>
        </w:tc>
        <w:tc>
          <w:tcPr>
            <w:tcW w:w="760" w:type="dxa"/>
            <w:vAlign w:val="bottom"/>
          </w:tcPr>
          <w:p>
            <w:pPr>
              <w:jc w:val="right"/>
              <w:ind w:right="176"/>
              <w:spacing w:after="0" w:line="107" w:lineRule="exact"/>
              <w:rPr>
                <w:sz w:val="20"/>
                <w:szCs w:val="20"/>
                <w:color w:val="auto"/>
              </w:rPr>
            </w:pPr>
            <w:r>
              <w:rPr>
                <w:rFonts w:ascii="Times New Roman" w:cs="Times New Roman" w:eastAsia="Times New Roman" w:hAnsi="Times New Roman"/>
                <w:sz w:val="12"/>
                <w:szCs w:val="12"/>
                <w:color w:val="auto"/>
              </w:rPr>
              <w:t>Balance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7"/>
              <w:spacing w:after="0" w:line="107" w:lineRule="exact"/>
              <w:rPr>
                <w:sz w:val="20"/>
                <w:szCs w:val="20"/>
                <w:color w:val="auto"/>
              </w:rPr>
            </w:pPr>
            <w:r>
              <w:rPr>
                <w:rFonts w:ascii="Times New Roman" w:cs="Times New Roman" w:eastAsia="Times New Roman" w:hAnsi="Times New Roman"/>
                <w:sz w:val="12"/>
                <w:szCs w:val="12"/>
                <w:color w:val="auto"/>
              </w:rPr>
              <w:t>Dividends</w:t>
            </w:r>
          </w:p>
        </w:tc>
        <w:tc>
          <w:tcPr>
            <w:tcW w:w="100" w:type="dxa"/>
            <w:vAlign w:val="bottom"/>
          </w:tcPr>
          <w:p>
            <w:pPr>
              <w:spacing w:after="0"/>
              <w:rPr>
                <w:sz w:val="11"/>
                <w:szCs w:val="11"/>
                <w:color w:val="auto"/>
              </w:rPr>
            </w:pPr>
          </w:p>
        </w:tc>
        <w:tc>
          <w:tcPr>
            <w:tcW w:w="9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2"/>
                <w:szCs w:val="12"/>
                <w:color w:val="auto"/>
              </w:rPr>
              <w:t>Rate</w:t>
            </w:r>
          </w:p>
        </w:tc>
        <w:tc>
          <w:tcPr>
            <w:tcW w:w="180" w:type="dxa"/>
            <w:vAlign w:val="bottom"/>
          </w:tcPr>
          <w:p>
            <w:pPr>
              <w:spacing w:after="0"/>
              <w:rPr>
                <w:sz w:val="11"/>
                <w:szCs w:val="11"/>
                <w:color w:val="auto"/>
              </w:rPr>
            </w:pPr>
          </w:p>
        </w:tc>
        <w:tc>
          <w:tcPr>
            <w:tcW w:w="760" w:type="dxa"/>
            <w:vAlign w:val="bottom"/>
          </w:tcPr>
          <w:p>
            <w:pPr>
              <w:jc w:val="right"/>
              <w:ind w:right="176"/>
              <w:spacing w:after="0" w:line="107" w:lineRule="exact"/>
              <w:rPr>
                <w:sz w:val="20"/>
                <w:szCs w:val="20"/>
                <w:color w:val="auto"/>
              </w:rPr>
            </w:pPr>
            <w:r>
              <w:rPr>
                <w:rFonts w:ascii="Times New Roman" w:cs="Times New Roman" w:eastAsia="Times New Roman" w:hAnsi="Times New Roman"/>
                <w:sz w:val="12"/>
                <w:szCs w:val="12"/>
                <w:color w:val="auto"/>
              </w:rPr>
              <w:t>Balance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7"/>
              <w:spacing w:after="0" w:line="107" w:lineRule="exact"/>
              <w:rPr>
                <w:sz w:val="20"/>
                <w:szCs w:val="20"/>
                <w:color w:val="auto"/>
              </w:rPr>
            </w:pPr>
            <w:r>
              <w:rPr>
                <w:rFonts w:ascii="Times New Roman" w:cs="Times New Roman" w:eastAsia="Times New Roman" w:hAnsi="Times New Roman"/>
                <w:sz w:val="12"/>
                <w:szCs w:val="12"/>
                <w:color w:val="auto"/>
              </w:rPr>
              <w:t>Dividends</w:t>
            </w:r>
          </w:p>
        </w:tc>
        <w:tc>
          <w:tcPr>
            <w:tcW w:w="100" w:type="dxa"/>
            <w:vAlign w:val="bottom"/>
          </w:tcPr>
          <w:p>
            <w:pPr>
              <w:spacing w:after="0"/>
              <w:rPr>
                <w:sz w:val="11"/>
                <w:szCs w:val="11"/>
                <w:color w:val="auto"/>
              </w:rPr>
            </w:pPr>
          </w:p>
        </w:tc>
        <w:tc>
          <w:tcPr>
            <w:tcW w:w="9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2"/>
                <w:szCs w:val="12"/>
                <w:color w:val="auto"/>
              </w:rPr>
              <w:t>Rate</w:t>
            </w:r>
          </w:p>
        </w:tc>
        <w:tc>
          <w:tcPr>
            <w:tcW w:w="180" w:type="dxa"/>
            <w:vAlign w:val="bottom"/>
          </w:tcPr>
          <w:p>
            <w:pPr>
              <w:spacing w:after="0"/>
              <w:rPr>
                <w:sz w:val="11"/>
                <w:szCs w:val="11"/>
                <w:color w:val="auto"/>
              </w:rPr>
            </w:pPr>
          </w:p>
        </w:tc>
        <w:tc>
          <w:tcPr>
            <w:tcW w:w="760" w:type="dxa"/>
            <w:vAlign w:val="bottom"/>
          </w:tcPr>
          <w:p>
            <w:pPr>
              <w:jc w:val="right"/>
              <w:ind w:right="176"/>
              <w:spacing w:after="0" w:line="107" w:lineRule="exact"/>
              <w:rPr>
                <w:sz w:val="20"/>
                <w:szCs w:val="20"/>
                <w:color w:val="auto"/>
              </w:rPr>
            </w:pPr>
            <w:r>
              <w:rPr>
                <w:rFonts w:ascii="Times New Roman" w:cs="Times New Roman" w:eastAsia="Times New Roman" w:hAnsi="Times New Roman"/>
                <w:sz w:val="12"/>
                <w:szCs w:val="12"/>
                <w:color w:val="auto"/>
              </w:rPr>
              <w:t>Balance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7"/>
              <w:spacing w:after="0" w:line="107" w:lineRule="exact"/>
              <w:rPr>
                <w:sz w:val="20"/>
                <w:szCs w:val="20"/>
                <w:color w:val="auto"/>
              </w:rPr>
            </w:pPr>
            <w:r>
              <w:rPr>
                <w:rFonts w:ascii="Times New Roman" w:cs="Times New Roman" w:eastAsia="Times New Roman" w:hAnsi="Times New Roman"/>
                <w:sz w:val="12"/>
                <w:szCs w:val="12"/>
                <w:color w:val="auto"/>
              </w:rPr>
              <w:t>Dividends</w:t>
            </w:r>
          </w:p>
        </w:tc>
        <w:tc>
          <w:tcPr>
            <w:tcW w:w="100" w:type="dxa"/>
            <w:vAlign w:val="bottom"/>
          </w:tcPr>
          <w:p>
            <w:pPr>
              <w:spacing w:after="0"/>
              <w:rPr>
                <w:sz w:val="11"/>
                <w:szCs w:val="11"/>
                <w:color w:val="auto"/>
              </w:rPr>
            </w:pPr>
          </w:p>
        </w:tc>
        <w:tc>
          <w:tcPr>
            <w:tcW w:w="8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auto"/>
              </w:rPr>
              <w:t>Rate</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Residential real estate loans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1,820,057</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4.92 %</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1,603,600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4.45 %</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1,284,029</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57,243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4.46 %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 xml:space="preserve">Commercial loans </w:t>
            </w:r>
            <w:r>
              <w:rPr>
                <w:rFonts w:ascii="Times New Roman" w:cs="Times New Roman" w:eastAsia="Times New Roman" w:hAnsi="Times New Roman"/>
                <w:sz w:val="16"/>
                <w:szCs w:val="16"/>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13,818,805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772,496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12,982,708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675,549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11,902,971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555,244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4.66 %</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Consumer and other loans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1,305,716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89,160</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6.83 %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1,247,114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74,734</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5.99 %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1,131,000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54,393</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4.81 %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340"/>
              <w:spacing w:after="0" w:line="163" w:lineRule="exact"/>
              <w:rPr>
                <w:sz w:val="20"/>
                <w:szCs w:val="20"/>
                <w:color w:val="auto"/>
              </w:rPr>
            </w:pPr>
            <w:r>
              <w:rPr>
                <w:rFonts w:ascii="Times New Roman" w:cs="Times New Roman" w:eastAsia="Times New Roman" w:hAnsi="Times New Roman"/>
                <w:sz w:val="13"/>
                <w:szCs w:val="13"/>
                <w:color w:val="auto"/>
              </w:rPr>
              <w:t xml:space="preserve">Total loans </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16,944,578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951,252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15,833,422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821,611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14,318,000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666,880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gridSpan w:val="2"/>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Tax-exempt investment securities </w:t>
            </w:r>
            <w:r>
              <w:rPr>
                <w:rFonts w:ascii="Times New Roman" w:cs="Times New Roman" w:eastAsia="Times New Roman" w:hAnsi="Times New Roman"/>
                <w:sz w:val="16"/>
                <w:szCs w:val="16"/>
                <w:color w:val="auto"/>
                <w:vertAlign w:val="superscript"/>
              </w:rPr>
              <w:t>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1,675,732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1,740,746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1,916,731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3.67 %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Taxable investment securities </w:t>
            </w:r>
            <w:r>
              <w:rPr>
                <w:rFonts w:ascii="Times New Roman" w:cs="Times New Roman" w:eastAsia="Times New Roman" w:hAnsi="Times New Roman"/>
                <w:sz w:val="16"/>
                <w:szCs w:val="16"/>
                <w:color w:val="auto"/>
                <w:vertAlign w:val="superscript"/>
              </w:rPr>
              <w:t>4,5</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7,400,887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8,297,203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8,546,792</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3"/>
                <w:szCs w:val="13"/>
                <w:color w:val="auto"/>
              </w:rPr>
              <w:t>Total earning assets</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26,021,197</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1,155,859</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4.44 %</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25,871,371</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1,033,330</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3.99 %</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24,781,523</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851,270</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3.44 %</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Goodwill and intangibles</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1,079,404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1,022,052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1,032,263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Non-earning assets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773,322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504,698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603,401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27,873,923</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27,398,121</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26,417,187</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Non-interest bearing deposits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6,144,268</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6,642,339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8,005,821</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NOW and DDA accounts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5,326,296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63,635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5,167,117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0.72 %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5,387,277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0.06 %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Savings accounts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2,866,908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0.79 %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2,908,584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0.34 %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3,270,799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Money market deposit accounts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2,904,461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3,166,914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3,926,737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0.16 %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Certificate accounts</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3,106,755</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128,081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1,949,206</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955,829</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0.34 %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 core deposits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20,348,688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272,540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19,834,160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0.77 %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21,546,463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0.07 %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Short-term borrowings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60" w:type="dxa"/>
            <w:vAlign w:val="bottom"/>
            <w:gridSpan w:val="2"/>
          </w:tcPr>
          <w:p>
            <w:pPr>
              <w:ind w:left="180"/>
              <w:spacing w:after="0" w:line="170" w:lineRule="exact"/>
              <w:rPr>
                <w:sz w:val="20"/>
                <w:szCs w:val="20"/>
                <w:color w:val="auto"/>
              </w:rPr>
            </w:pPr>
            <w:r>
              <w:rPr>
                <w:rFonts w:ascii="Times New Roman" w:cs="Times New Roman" w:eastAsia="Times New Roman" w:hAnsi="Times New Roman"/>
                <w:sz w:val="13"/>
                <w:szCs w:val="13"/>
                <w:color w:val="auto"/>
              </w:rPr>
              <w:t xml:space="preserve">Wholesale deposits </w:t>
            </w:r>
            <w:r>
              <w:rPr>
                <w:rFonts w:ascii="Times New Roman" w:cs="Times New Roman" w:eastAsia="Times New Roman" w:hAnsi="Times New Roman"/>
                <w:sz w:val="16"/>
                <w:szCs w:val="16"/>
                <w:color w:val="auto"/>
                <w:vertAlign w:val="superscript"/>
              </w:rPr>
              <w:t>6</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agreements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1,676,040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1,301,223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920,955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FHLB advances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1,147,456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551,986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4.81 %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584,562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FRB Bank Term Funding</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617,377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27,097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2,133,658</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93,388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 short-term borrowings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3,444,488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3.98 %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4,160,098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3.92 %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1,517,379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Long-term borrowings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FHLB advances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351,038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Subordinated debentures and other borrowed</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219,839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209,567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196,139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6,218</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funds</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3"/>
                <w:szCs w:val="13"/>
                <w:color w:val="auto"/>
              </w:rPr>
              <w:t>Total interest bearing liabilities</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24,364,053</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435,218</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1.79 %</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24,203,825</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325,973</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23,259,981</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41,261</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0.18 %</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351,825</w:t>
            </w: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275,359</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249,832</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24,715,878</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24,479,184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23,509,813</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Paid-in capital</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2,437,641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2,346,575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2,340,952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1,064,090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1,021,469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897,587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(344,818)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(450,216)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3,158,045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2,918,937</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2,907,374</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9"/>
              </w:rPr>
              <w:t>Total liabilities and stockholders’ equity</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27,873,923</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27,398,121</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26,417,187</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interest income (tax-equivalent)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720,641</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707,357</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810,009</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Net interest spread (tax-equivalent)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2.65 %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2.64 %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3.26 %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interest margin (tax-equivalent)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Average Balance Sheet -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32"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Includes tax effect of $6.5 million, $5.9 million and $6.3 million on tax-exempt municipal loan and lease income for the years ended December 31, 2024, 2023 and 2022, respectively.</w:t>
      </w:r>
    </w:p>
    <w:p>
      <w:pPr>
        <w:ind w:left="60" w:hanging="55"/>
        <w:spacing w:after="0" w:line="201" w:lineRule="auto"/>
        <w:tabs>
          <w:tab w:leader="none" w:pos="6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loans are gross of the allowance for credit losses, net of unearned income and include loans held for sale. Non-accrual loans were included in the average volume for the entire period.</w:t>
      </w:r>
    </w:p>
    <w:p>
      <w:pPr>
        <w:spacing w:after="0" w:line="8" w:lineRule="exact"/>
        <w:rPr>
          <w:rFonts w:ascii="Times New Roman" w:cs="Times New Roman" w:eastAsia="Times New Roman" w:hAnsi="Times New Roman"/>
          <w:sz w:val="16"/>
          <w:szCs w:val="16"/>
          <w:color w:val="auto"/>
          <w:vertAlign w:val="superscript"/>
        </w:rPr>
      </w:pPr>
    </w:p>
    <w:p>
      <w:pPr>
        <w:spacing w:after="0" w:line="182"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Includes tax effect of $8.6 million, $8.9 million and $14.5 million on tax-exempt debt securities income for the years ended December 31, 2024, 2023 and 2022, respectively.</w:t>
      </w:r>
    </w:p>
    <w:p>
      <w:pPr>
        <w:spacing w:after="0" w:line="184"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Includes tax effect of $832 thousand, $859 thousand and $0.9 million on federal income tax credits for the years ended December 31, 2024, 2023 and 2022, respectively.</w:t>
      </w:r>
    </w:p>
    <w:p>
      <w:pPr>
        <w:ind w:left="60" w:hanging="64"/>
        <w:spacing w:after="0" w:line="213"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3"/>
          <w:szCs w:val="13"/>
          <w:color w:val="auto"/>
        </w:rPr>
        <w:t xml:space="preserve"> Includes interest income of $31.2 million, $42.2 million and $1,523 thousand on average interest-bearing cash balances of $594.8 million, $791.5 million and $120.3 million for the years ended December 31, 2024, 2023 and 2022, respectively.</w:t>
      </w:r>
    </w:p>
    <w:p>
      <w:pPr>
        <w:spacing w:after="0" w:line="1" w:lineRule="exact"/>
        <w:rPr>
          <w:rFonts w:ascii="Times New Roman" w:cs="Times New Roman" w:eastAsia="Times New Roman" w:hAnsi="Times New Roman"/>
          <w:sz w:val="16"/>
          <w:szCs w:val="16"/>
          <w:color w:val="auto"/>
          <w:vertAlign w:val="superscript"/>
        </w:rPr>
      </w:pP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3"/>
          <w:szCs w:val="13"/>
          <w:color w:val="auto"/>
        </w:rPr>
        <w:t xml:space="preserve"> Wholesale deposits include brokered deposits classified as NOW, DDA, money market deposit and certificate accounts with contractual maturities.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Rate/Volume Analysis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center"/>
              <w:ind w:left="590"/>
              <w:spacing w:after="0"/>
              <w:rPr>
                <w:sz w:val="20"/>
                <w:szCs w:val="20"/>
                <w:color w:val="auto"/>
              </w:rPr>
            </w:pPr>
            <w:r>
              <w:rPr>
                <w:rFonts w:ascii="Times New Roman" w:cs="Times New Roman" w:eastAsia="Times New Roman" w:hAnsi="Times New Roman"/>
                <w:sz w:val="14"/>
                <w:szCs w:val="14"/>
                <w:color w:val="auto"/>
                <w:w w:val="99"/>
              </w:rPr>
              <w:t>Year ended December 31,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5"/>
          </w:tcPr>
          <w:p>
            <w:pPr>
              <w:jc w:val="center"/>
              <w:ind w:left="830"/>
              <w:spacing w:after="0"/>
              <w:rPr>
                <w:sz w:val="20"/>
                <w:szCs w:val="20"/>
                <w:color w:val="auto"/>
              </w:rPr>
            </w:pPr>
            <w:r>
              <w:rPr>
                <w:rFonts w:ascii="Times New Roman" w:cs="Times New Roman" w:eastAsia="Times New Roman" w:hAnsi="Times New Roman"/>
                <w:sz w:val="14"/>
                <w:szCs w:val="14"/>
                <w:color w:val="auto"/>
                <w:w w:val="99"/>
              </w:rPr>
              <w:t>Year ended December 31,</w:t>
            </w:r>
          </w:p>
        </w:tc>
        <w:tc>
          <w:tcPr>
            <w:tcW w:w="8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2024 vs. 2023</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2023 vs. 2022</w:t>
            </w:r>
          </w:p>
        </w:tc>
        <w:tc>
          <w:tcPr>
            <w:tcW w:w="88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left="590"/>
              <w:spacing w:after="0"/>
              <w:rPr>
                <w:sz w:val="20"/>
                <w:szCs w:val="20"/>
                <w:color w:val="auto"/>
              </w:rPr>
            </w:pPr>
            <w:r>
              <w:rPr>
                <w:rFonts w:ascii="Times New Roman" w:cs="Times New Roman" w:eastAsia="Times New Roman" w:hAnsi="Times New Roman"/>
                <w:sz w:val="14"/>
                <w:szCs w:val="14"/>
                <w:color w:val="auto"/>
              </w:rPr>
              <w:t>Increase (Decrease) Due to:</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4"/>
                <w:szCs w:val="14"/>
                <w:color w:val="auto"/>
              </w:rPr>
              <w:t>Increase (Decrease) Due to:</w:t>
            </w:r>
          </w:p>
        </w:tc>
        <w:tc>
          <w:tcPr>
            <w:tcW w:w="8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376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1"/>
                <w:szCs w:val="11"/>
                <w:color w:val="auto"/>
              </w:rPr>
            </w:pPr>
          </w:p>
        </w:tc>
        <w:tc>
          <w:tcPr>
            <w:tcW w:w="10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color w:val="auto"/>
              </w:rPr>
              <w:t>Volume</w:t>
            </w:r>
          </w:p>
        </w:tc>
        <w:tc>
          <w:tcPr>
            <w:tcW w:w="156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color w:val="auto"/>
              </w:rPr>
              <w:t>Rate</w:t>
            </w:r>
          </w:p>
        </w:tc>
        <w:tc>
          <w:tcPr>
            <w:tcW w:w="880" w:type="dxa"/>
            <w:vAlign w:val="bottom"/>
          </w:tcPr>
          <w:p>
            <w:pPr>
              <w:jc w:val="right"/>
              <w:ind w:right="410"/>
              <w:spacing w:after="0" w:line="118" w:lineRule="exact"/>
              <w:rPr>
                <w:sz w:val="20"/>
                <w:szCs w:val="20"/>
                <w:color w:val="auto"/>
              </w:rPr>
            </w:pPr>
            <w:r>
              <w:rPr>
                <w:rFonts w:ascii="Times New Roman" w:cs="Times New Roman" w:eastAsia="Times New Roman" w:hAnsi="Times New Roman"/>
                <w:sz w:val="13"/>
                <w:szCs w:val="13"/>
                <w:color w:val="auto"/>
              </w:rPr>
              <w:t>Net</w:t>
            </w:r>
          </w:p>
        </w:tc>
        <w:tc>
          <w:tcPr>
            <w:tcW w:w="80" w:type="dxa"/>
            <w:vAlign w:val="bottom"/>
          </w:tcPr>
          <w:p>
            <w:pPr>
              <w:spacing w:after="0"/>
              <w:rPr>
                <w:sz w:val="11"/>
                <w:szCs w:val="11"/>
                <w:color w:val="auto"/>
              </w:rPr>
            </w:pPr>
          </w:p>
        </w:tc>
        <w:tc>
          <w:tcPr>
            <w:tcW w:w="1280" w:type="dxa"/>
            <w:vAlign w:val="bottom"/>
            <w:gridSpan w:val="2"/>
          </w:tcPr>
          <w:p>
            <w:pPr>
              <w:ind w:left="380"/>
              <w:spacing w:after="0" w:line="118" w:lineRule="exact"/>
              <w:rPr>
                <w:sz w:val="20"/>
                <w:szCs w:val="20"/>
                <w:color w:val="auto"/>
              </w:rPr>
            </w:pPr>
            <w:r>
              <w:rPr>
                <w:rFonts w:ascii="Times New Roman" w:cs="Times New Roman" w:eastAsia="Times New Roman" w:hAnsi="Times New Roman"/>
                <w:sz w:val="13"/>
                <w:szCs w:val="13"/>
                <w:color w:val="auto"/>
              </w:rPr>
              <w:t>Volume</w:t>
            </w:r>
          </w:p>
        </w:tc>
        <w:tc>
          <w:tcPr>
            <w:tcW w:w="156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color w:val="auto"/>
              </w:rPr>
              <w:t>Rate</w:t>
            </w:r>
          </w:p>
        </w:tc>
        <w:tc>
          <w:tcPr>
            <w:tcW w:w="880" w:type="dxa"/>
            <w:vAlign w:val="bottom"/>
          </w:tcPr>
          <w:p>
            <w:pPr>
              <w:jc w:val="right"/>
              <w:ind w:right="410"/>
              <w:spacing w:after="0" w:line="118" w:lineRule="exact"/>
              <w:rPr>
                <w:sz w:val="20"/>
                <w:szCs w:val="20"/>
                <w:color w:val="auto"/>
              </w:rPr>
            </w:pPr>
            <w:r>
              <w:rPr>
                <w:rFonts w:ascii="Times New Roman" w:cs="Times New Roman" w:eastAsia="Times New Roman" w:hAnsi="Times New Roman"/>
                <w:sz w:val="13"/>
                <w:szCs w:val="13"/>
                <w:color w:val="auto"/>
              </w:rPr>
              <w:t>Net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18,268</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14,085</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loans (tax-equivalent)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51,472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96,948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120,306</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14,426</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20,341</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 securities (tax-equivalent)</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(20,277)</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27,328</w:t>
            </w:r>
          </w:p>
        </w:tc>
      </w:tr>
      <w:tr>
        <w:trPr>
          <w:trHeight w:val="171"/>
        </w:trPr>
        <w:tc>
          <w:tcPr>
            <w:tcW w:w="20" w:type="dxa"/>
            <w:vAlign w:val="bottom"/>
          </w:tcPr>
          <w:p>
            <w:pPr>
              <w:spacing w:after="0"/>
              <w:rPr>
                <w:sz w:val="14"/>
                <w:szCs w:val="14"/>
                <w:color w:val="auto"/>
              </w:rPr>
            </w:pPr>
          </w:p>
        </w:tc>
        <w:tc>
          <w:tcPr>
            <w:tcW w:w="3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interest income</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38,553</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83,977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122,530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62,698</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182,060</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NOW and DDA accounts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26,278</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33,918</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Savings accounts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8,727</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Money market deposit accounts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35,853</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Certificate accounts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38,392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60,928</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Wholesale deposits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(8,527)</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8,474</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Repurchase agreements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33,214</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FHLB advances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46,343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9,593</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FRB Bank Term Funding</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(66,291)</w:t>
            </w:r>
          </w:p>
        </w:tc>
        <w:tc>
          <w:tcPr>
            <w:tcW w:w="10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93,388</w:t>
            </w:r>
          </w:p>
        </w:tc>
        <w:tc>
          <w:tcPr>
            <w:tcW w:w="10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93,388</w:t>
            </w:r>
          </w:p>
        </w:tc>
      </w:tr>
      <w:tr>
        <w:trPr>
          <w:trHeight w:val="180"/>
        </w:trPr>
        <w:tc>
          <w:tcPr>
            <w:tcW w:w="2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Subordinated debentures and other borrowed funds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18,623</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90,622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109,245</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99,379</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185,333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284,712</w:t>
            </w:r>
          </w:p>
        </w:tc>
      </w:tr>
      <w:tr>
        <w:trPr>
          <w:trHeight w:val="171"/>
        </w:trPr>
        <w:tc>
          <w:tcPr>
            <w:tcW w:w="20" w:type="dxa"/>
            <w:vAlign w:val="bottom"/>
          </w:tcPr>
          <w:p>
            <w:pPr>
              <w:spacing w:after="0"/>
              <w:rPr>
                <w:sz w:val="14"/>
                <w:szCs w:val="14"/>
                <w:color w:val="auto"/>
              </w:rPr>
            </w:pPr>
          </w:p>
        </w:tc>
        <w:tc>
          <w:tcPr>
            <w:tcW w:w="3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interest income (tax-equivalent)</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19,930</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13,285</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(36,681)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(65,971)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(102,652)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Net interest income (tax-equivalent) increased $13.3 million for the year ended December 31, 2024 compared to prior year end. The increase in interest income was primarily attributable to an increase in interest rates with additional benefit from the increase in the loan portfolio, which more than outpaced the increase in interest expense which was primarily driven by an increase in interest rates.</w:t>
      </w:r>
    </w:p>
    <w:p>
      <w:pPr>
        <w:spacing w:after="0" w:line="3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interest income (tax-equivalent) decreased $102.7 million for the year ended December 31, 2023 compared to the prior year end. The historic increase in interest rates during the prior year was the reason for the increase in interest expense which outpaced the increase in interest income.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Cyber Risk</w:t>
      </w:r>
    </w:p>
    <w:p>
      <w:pPr>
        <w:spacing w:after="0" w:line="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 failure in or breach of the Company’s operational or security systems, or those of the Company’s third-party service providers, including as a result of cyber-attacks, could disrupt business, result in the disclosure or misuse of confidential or proprietary information, damage our reputation, increase costs and cause losses. The Company employs detection and response mechanisms designed to contain and mitigate these risks. The Company maintains a robust information security program that is regularly reviewed, tested, and updated. This includes vulnerability and patch management programs, incident response planning, security monitoring, employee training, and security awareness testing. The Board's Risk Oversight Committee is responsible for monitoring the Company’s cyber risk management profile and related programs. The Board is responsible for approval of related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1A. Risk Factors” and “Item 1C. Cybersecurity” for additional information regarding our cybersecurity program and the risks we face from cybersecurity threats.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often requires management to use significant judgments as well as subjective and/or complex measurements in making estimates and assumptions that affect the reported amounts of assets, liabilities, income and expenses. The Company considers its accounting policies for the ACL, goodwill and fair value measurements to be critical accounting policies. The application of these policies has a significant impact on the Company’s consolidated financial statements and financial results could differ significantly if different judgments or estimates were applied. The following describes why the estimates are subject to uncertainty, the estimated change in the reported periods, and the sensitivity of the reported amounts to the methods, assumptions, and estimates underlying the calculation.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allowance for credit losses for loans receivable represents management’s estimate of credit losses over the expected contractual life of the loan portfolio.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 which is why there is such a high degree of uncertainty. Such factors or assumptions include loan volumes, delinquency status, credit ratings, historical loss experiences, estimated prepayment speeds, weighted average lives and other conditions influencing loss expectations, such as reasonable and supportable forecasts of economic conditions. As a result of the significant size of the loan portfolio, the numerous assumptions in the model, and the high degree of potential change in such assumptions, there is a high degree of sensitivity to the reported amounts. For information regarding the ACL for loans receivable, its relation to the provision for credit losses and risk related to asset quality, and the estimated change during the reported periods, see the section captioned “Allowance for Credit Losses - Loans Receivable” included in “Item 7. Management’s Discussion and Analysis of Financial Condition and Results of Operations” and Notes 1 and 3 to the Consolidated Financial Statements in “Item 8. Financial Statements and Supplementary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Goodwill</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 required to assess goodwill for impairment on an annual basis, or more frequently if determined necessary. Goodwill of a reporting unit is tested for impairment if an event is more-likely-than-not to reduce the fair value of a reporting unit below its carrying amount. Changes in the economic environment, operations of the aggregated reporting units, or other factors could result in the decline in the fair value of the aggregated reporting units which could result in a goodwill impairment in the future. The estimate is considered to have a low amount of uncertainty unless there is an event that significantly lowers the fair value of a reporting unit estimate. Examples of events and circumstances include: significant change in legal factors or in the business climate, an adverse action or assessment by a regulator, unanticipated competition, loss of key personnel, a more likely-than-not expectation that a reporting unit or a significant portion of a reporting unit will be sold or otherwise disposed of, and the testing for recoverability of a significant asset group within a reporting unit. There were no changes to the Company’s assessment or reported amounts during 2024. For information on goodwill, see Notes 1 and 5 to the Consolidated Financial Statements in “Item 8. Financial Statements and Supplementary Data.”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Fair Value Measurements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Fair value measurement estimates are used for certain recorded and disclosed financial instruments on a recurring and non-recurring basis. Such estimates utilize a variety of assumptions which are subject to uncertainty. Certain fair value measurements have a higher degree of sensitivity of the reported amount to the methods, assumptions and estimates underlying the calculation. For information on fair value measurements and the estimated changes during the reporting periods, see Note 21 to the Consolidated Financial Statements 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Impact of Recently Issued Accounting Standards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Authoritative accounting guidance that impacted the Company that became effective during 2024 or 2023 include amendments to:</w:t>
      </w:r>
    </w:p>
    <w:p>
      <w:pPr>
        <w:spacing w:after="0" w:line="183"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FASB ASC Topic 326, </w:t>
      </w:r>
      <w:r>
        <w:rPr>
          <w:rFonts w:ascii="Times New Roman" w:cs="Times New Roman" w:eastAsia="Times New Roman" w:hAnsi="Times New Roman"/>
          <w:sz w:val="14"/>
          <w:szCs w:val="14"/>
          <w:i w:val="1"/>
          <w:iCs w:val="1"/>
          <w:color w:val="auto"/>
        </w:rPr>
        <w:t>Financial Instruments - Credit Losses Troubled Debt Restructurings and Vintage Disclosures</w:t>
      </w:r>
    </w:p>
    <w:p>
      <w:pPr>
        <w:spacing w:after="0" w:line="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FASB ASC Topic 280, </w:t>
      </w:r>
      <w:r>
        <w:rPr>
          <w:rFonts w:ascii="Times New Roman" w:cs="Times New Roman" w:eastAsia="Times New Roman" w:hAnsi="Times New Roman"/>
          <w:sz w:val="14"/>
          <w:szCs w:val="14"/>
          <w:i w:val="1"/>
          <w:iCs w:val="1"/>
          <w:color w:val="auto"/>
        </w:rPr>
        <w:t>Segment Reporting</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FASB ASC Topic 848, </w:t>
      </w:r>
      <w:r>
        <w:rPr>
          <w:rFonts w:ascii="Times New Roman" w:cs="Times New Roman" w:eastAsia="Times New Roman" w:hAnsi="Times New Roman"/>
          <w:sz w:val="14"/>
          <w:szCs w:val="14"/>
          <w:i w:val="1"/>
          <w:iCs w:val="1"/>
          <w:color w:val="auto"/>
        </w:rPr>
        <w:t>Reference Rate Reform</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FASB ASC Topic 232, </w:t>
      </w:r>
      <w:r>
        <w:rPr>
          <w:rFonts w:ascii="Times New Roman" w:cs="Times New Roman" w:eastAsia="Times New Roman" w:hAnsi="Times New Roman"/>
          <w:sz w:val="14"/>
          <w:szCs w:val="14"/>
          <w:i w:val="1"/>
          <w:iCs w:val="1"/>
          <w:color w:val="auto"/>
        </w:rPr>
        <w:t>Investments Equity Method and Joint Ventures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Authoritative accounting guidance that may possibly have a material impact on the Company that is pending adoption at December 31, 2024 includes amendments to:</w:t>
      </w:r>
    </w:p>
    <w:p>
      <w:pPr>
        <w:spacing w:after="0" w:line="198"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FASB ASC Topic 740, </w:t>
      </w:r>
      <w:r>
        <w:rPr>
          <w:rFonts w:ascii="Times New Roman" w:cs="Times New Roman" w:eastAsia="Times New Roman" w:hAnsi="Times New Roman"/>
          <w:sz w:val="14"/>
          <w:szCs w:val="14"/>
          <w:i w:val="1"/>
          <w:iCs w:val="1"/>
          <w:color w:val="auto"/>
        </w:rPr>
        <w:t>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the topics and the impact on the Company see Note 1 to the Consolidated Financial Statements in “Item 8. Financial Statements and Supplementary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disclosures set forth in this item are qualified by the section captioned “Forward-Looking Statements” included in “Item 7. Management’s Discussion and Analysis of Financial Condition and Results of Operations.” Market risk is the risk of loss in a financial instrument arising from adverse changes in market rates/prices such as interest rates, foreign currency exchange rates, commodity prices, and equity prices. The Company’s primary market risk exposure is interest rate risk.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w:t>
      </w:r>
    </w:p>
    <w:p>
      <w:pPr>
        <w:spacing w:after="0" w:line="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ongoing monitoring and management of this risk is an important component of the Company’s asset/liability management process which is governed by policies established by the Company’s Board. The Board delegates responsibility for carrying out the asset/liability management policies to ALCO. In this capacity, ALCO develops guidelines and strategies impacting the Company’s asset/liability management-related activities which are focused on managing earnings, particularly net interest income, relative to acceptable levels of interest rate, liquidity and credit/capital risks. Accordingly, an important goal of the Company’s asset and liability management practices is to manage its existing and prospective levels of net interest income within an acceptable degree of interest rate risk based upon estimated market risk sensitivity, policy limits and overall market interest rate levels and trends.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 simulation</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200 bps, 300 bps, and 400 bps scenarios with instantaneous and 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The following is indicative of the Company’s overall NII sensitivity analysis as of December 31, 2024. The Company’s NII sensitivity remained within policy limits at December 31,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949"/>
              <w:spacing w:after="0"/>
              <w:rPr>
                <w:sz w:val="20"/>
                <w:szCs w:val="20"/>
                <w:color w:val="auto"/>
              </w:rPr>
            </w:pPr>
            <w:r>
              <w:rPr>
                <w:rFonts w:ascii="Times New Roman" w:cs="Times New Roman" w:eastAsia="Times New Roman" w:hAnsi="Times New Roman"/>
                <w:sz w:val="14"/>
                <w:szCs w:val="14"/>
                <w:color w:val="auto"/>
              </w:rPr>
              <w:t>Estimated Sensitivity</w:t>
            </w: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Scenarios</w:t>
            </w: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One Year</w:t>
            </w:r>
          </w:p>
        </w:tc>
        <w:tc>
          <w:tcPr>
            <w:tcW w:w="1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Two Years</w:t>
            </w:r>
          </w:p>
        </w:tc>
      </w:tr>
      <w:tr>
        <w:trPr>
          <w:trHeight w:val="171"/>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 bp Rate ramp</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bp Rate ramp</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(0.31 %)</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bp Rate shock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(2.99 %)</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 bp Rate shock</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(0.86 %)</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bp Rate shock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bp Rate shock</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3.15 %</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bp Rate ramp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2.76 %</w:t>
            </w:r>
          </w:p>
        </w:tc>
      </w:tr>
      <w:tr>
        <w:trPr>
          <w:trHeight w:val="184"/>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+400 bp Rate shock</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0.57 %</w:t>
            </w:r>
          </w:p>
        </w:tc>
      </w:tr>
    </w:tbl>
    <w:p>
      <w:pPr>
        <w:spacing w:after="0" w:line="2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preceding sensitivity analysis does not represent a forecast and should not be relied upon as being indicative of expected operating results. Changes in the Company’s core deposit base, updated deposit pricing assumptions, and other balance sheet changes have increased the degree of measured liability sensitivity.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Board of Directors, and Audit Committee</w:t>
      </w:r>
    </w:p>
    <w:p>
      <w:pPr>
        <w:spacing w:after="0" w:line="226" w:lineRule="auto"/>
        <w:rPr>
          <w:sz w:val="20"/>
          <w:szCs w:val="20"/>
          <w:color w:val="auto"/>
        </w:rPr>
      </w:pPr>
      <w:r>
        <w:rPr>
          <w:rFonts w:ascii="Times New Roman" w:cs="Times New Roman" w:eastAsia="Times New Roman" w:hAnsi="Times New Roman"/>
          <w:sz w:val="16"/>
          <w:szCs w:val="16"/>
          <w:color w:val="auto"/>
        </w:rPr>
        <w:t>Glacier Bancorp, Inc.</w:t>
      </w:r>
    </w:p>
    <w:p>
      <w:pPr>
        <w:spacing w:after="0"/>
        <w:rPr>
          <w:sz w:val="20"/>
          <w:szCs w:val="20"/>
          <w:color w:val="auto"/>
        </w:rPr>
      </w:pPr>
      <w:r>
        <w:rPr>
          <w:rFonts w:ascii="Times New Roman" w:cs="Times New Roman" w:eastAsia="Times New Roman" w:hAnsi="Times New Roman"/>
          <w:sz w:val="16"/>
          <w:szCs w:val="16"/>
          <w:color w:val="auto"/>
        </w:rPr>
        <w:t>Kalispell, Montana</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financial condition of Glacier Bancorp, Inc. (the “Company”) as of December 31, 2024 and 2023, the related consolidated statements of operations, comprehensive income (loss), changes in stockholders’ equity, and cash flows for each of the years in the three-year period ended December 31, 2024, and the related notes (collectively referred to as the “financial statements”). 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and our report dated February 25, 2025, expressed an unqualified opinion thereon.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6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color w:val="auto"/>
        </w:rPr>
        <w:t>Stockholders, Board of Directors and Audit Committee</w:t>
      </w:r>
    </w:p>
    <w:p>
      <w:pPr>
        <w:spacing w:after="0"/>
        <w:rPr>
          <w:sz w:val="20"/>
          <w:szCs w:val="20"/>
          <w:color w:val="auto"/>
        </w:rPr>
      </w:pPr>
      <w:r>
        <w:rPr>
          <w:rFonts w:ascii="Times New Roman" w:cs="Times New Roman" w:eastAsia="Times New Roman" w:hAnsi="Times New Roman"/>
          <w:sz w:val="16"/>
          <w:szCs w:val="16"/>
          <w:color w:val="auto"/>
        </w:rPr>
        <w:t>Glacier Bancorp, Inc.</w:t>
      </w: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is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7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Company’s loan portfolio and the associated allowance for credit losses (ACL) were $17.3 billion and $206 million as of December 31, 2024, respectively. The provision for credit losses related to the loan portfolio was $27.2 million for the year ended December 31, 2024. As more fully described in Notes 1 and 3 to the Company’s consolidated financial statements, the ACL includes a quantitative portion where loans that share similar risk characteristics with other loans are segregated into loan segments. The model calculates an expected loss percentage for each loan segment by considering the non-discounted simple annual average historical loss rate of each loan segment, multiplying the loss rate by the amortized loan balance and incorporating that segment’s internally generated prepayment speed assumption and contractually scheduled remaining principal pay downs on a loan level basis. Those historical loss rates are adjusted over a reasonable economic forecast period based upon national economic forecasts. The Company will then revert from the economic forecast period back to the historical average loss rate on a straight-line basis. After that reversion period, the loans will experience their historical loss rates for the remainder of their contractual lives. The Company will also include qualitative adjustments to adjust the ACL on loan segments to the extent the current or future conditions are believed to vary from historical conditions across several qualitative factors. At December 31, 2024, the key qualitative factors included adjustments to the expected credit losses associated with risks in the current economic environment and economic uncertainly in forward looking forecasts.</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Auditing management’s ACL estimate involved a high degree of complexity in evaluating the expected loss forecasting model and subjectivity in evaluating management’s measurement of the economic forecast used during the reasonable and supportable period and subjectivity in evaluating key qualitative factors and the qualitative adjustment in total.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the Critical Audit Matter Was Addressed in the Audit</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audit procedures related to the expected loss forecasting model including management’s measurement of the economic forecast used during the reasonable and supportable period and the qualitative factors to the ACL included the following:</w:t>
      </w:r>
    </w:p>
    <w:p>
      <w:pPr>
        <w:spacing w:after="0" w:line="144" w:lineRule="exact"/>
        <w:rPr>
          <w:sz w:val="20"/>
          <w:szCs w:val="20"/>
          <w:color w:val="auto"/>
        </w:rPr>
      </w:pPr>
    </w:p>
    <w:p>
      <w:pPr>
        <w:jc w:val="both"/>
        <w:ind w:left="520" w:hanging="260"/>
        <w:spacing w:after="0"/>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design and operating effectiveness of the Company’s controls over the key assumptions and data used to develop the expected loss forecasting model including management’s measurement of the economic forecast used during the reasonable and supportable period, and key qualitative adjustments to the ACL and the overall ACL amount.</w:t>
      </w:r>
    </w:p>
    <w:p>
      <w:pPr>
        <w:spacing w:after="0" w:line="158"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assessed the reasonableness of, and evaluated support for, key assumptions used in the model and key qualitative adjustments based on external market data and loan portfolio performance metrics.</w:t>
      </w:r>
    </w:p>
    <w:p>
      <w:pPr>
        <w:spacing w:after="0" w:line="143"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completeness and accuracy and evaluated the relevance of the key data used as inputs to the model and qualitative adjustment estimation process by agreeing a sample of inputs to supporting information.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Stockholders, Board of Directors and Audit Committee</w:t>
      </w:r>
    </w:p>
    <w:p>
      <w:pPr>
        <w:spacing w:after="0"/>
        <w:rPr>
          <w:sz w:val="20"/>
          <w:szCs w:val="20"/>
          <w:color w:val="auto"/>
        </w:rPr>
      </w:pPr>
      <w:r>
        <w:rPr>
          <w:rFonts w:ascii="Times New Roman" w:cs="Times New Roman" w:eastAsia="Times New Roman" w:hAnsi="Times New Roman"/>
          <w:sz w:val="16"/>
          <w:szCs w:val="16"/>
          <w:color w:val="auto"/>
        </w:rPr>
        <w:t>Glacier Bancorp, Inc.</w:t>
      </w: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360" w:lineRule="exact"/>
        <w:rPr>
          <w:sz w:val="20"/>
          <w:szCs w:val="20"/>
          <w:color w:val="auto"/>
        </w:rPr>
      </w:pPr>
    </w:p>
    <w:p>
      <w:pPr>
        <w:ind w:left="500" w:hanging="240"/>
        <w:spacing w:after="0"/>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mathematical accuracy of the ACL models used as well as the method for developing the qualitative adjustments.</w:t>
      </w:r>
    </w:p>
    <w:p>
      <w:pPr>
        <w:spacing w:after="0" w:line="187"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assessed the reasonableness of the overall ACL amount, including model estimates and qualitative factor adjustments and whether the recorded ACL appropriately reflects expected credit losses on the loan portfolio. We reviewed historical loss statistics and peer-bank information and considered whether they corroborate or contradict the Company’s measurement of the ACL.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Forvis Mazars,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Denver, Colorado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February 25, 2025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61" w:name="page62"/>
    <w:bookmarkEnd w:id="61"/>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Board of Directors and Audit Committee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Glacier Bancorp, Inc.</w:t>
      </w:r>
    </w:p>
    <w:p>
      <w:pPr>
        <w:spacing w:after="0"/>
        <w:rPr>
          <w:sz w:val="20"/>
          <w:szCs w:val="20"/>
          <w:color w:val="auto"/>
        </w:rPr>
      </w:pPr>
      <w:r>
        <w:rPr>
          <w:rFonts w:ascii="Times New Roman" w:cs="Times New Roman" w:eastAsia="Times New Roman" w:hAnsi="Times New Roman"/>
          <w:sz w:val="16"/>
          <w:szCs w:val="16"/>
          <w:color w:val="auto"/>
        </w:rPr>
        <w:t>Kalispell, Montana</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Internal Control over Financial Reporting</w:t>
      </w:r>
    </w:p>
    <w:p>
      <w:pPr>
        <w:spacing w:after="0" w:line="19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 xml:space="preserve">We have audited Glacier Bancorp’s (the “Company”)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1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financial statements of the Company as of December 31, 2024 and 2023, and for each of the three years in the period ended December 31, 2024, and our report dated February 25, 2025, expressed an unqualified opinion on those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6"/>
          <w:szCs w:val="16"/>
          <w:i w:val="1"/>
          <w:iCs w:val="1"/>
          <w:color w:val="auto"/>
        </w:rPr>
        <w:t>Management’s Report on Internal Control Over Financial Reporting</w:t>
      </w:r>
      <w:r>
        <w:rPr>
          <w:rFonts w:ascii="Times New Roman" w:cs="Times New Roman" w:eastAsia="Times New Roman" w:hAnsi="Times New Roman"/>
          <w:sz w:val="16"/>
          <w:szCs w:val="16"/>
          <w:color w:val="auto"/>
        </w:rPr>
        <w:t>. Our responsibility is to express an opinion on the Company’s internal control over financial reporting based on our audit.</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Stockholders, Board of Directors and Audit Committee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Glacier Bancorp, Inc.</w:t>
      </w: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Definitions and Limitations of Internal Control Over Financial Reporting</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firstLine="5"/>
        <w:spacing w:after="0" w:line="231" w:lineRule="auto"/>
        <w:tabs>
          <w:tab w:leader="none" w:pos="2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Forvis Mazars,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Denver, Colorado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GLACIER BANCORP,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CONDITION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 except share and per share data)</w:t>
            </w:r>
          </w:p>
        </w:tc>
        <w:tc>
          <w:tcPr>
            <w:tcW w:w="240" w:type="dxa"/>
            <w:vAlign w:val="bottom"/>
          </w:tcPr>
          <w:p>
            <w:pPr>
              <w:spacing w:after="0"/>
              <w:rPr>
                <w:sz w:val="12"/>
                <w:szCs w:val="12"/>
                <w:color w:val="auto"/>
              </w:rPr>
            </w:pPr>
          </w:p>
        </w:tc>
        <w:tc>
          <w:tcPr>
            <w:tcW w:w="1320" w:type="dxa"/>
            <w:vAlign w:val="bottom"/>
          </w:tcPr>
          <w:p>
            <w:pPr>
              <w:jc w:val="right"/>
              <w:ind w:right="56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560" w:type="dxa"/>
            <w:vAlign w:val="bottom"/>
          </w:tcPr>
          <w:p>
            <w:pPr>
              <w:jc w:val="right"/>
              <w:ind w:right="569"/>
              <w:spacing w:after="0" w:line="122"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Cash on hand and in banks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268,746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246,525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bearing cash deposits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579,662</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1,107,817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4,785,719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3,502,411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debt securities</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7,540,052</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8,288,130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receivable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16,198,082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(192,757)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Loans receivable, net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16,005,325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468,220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421,791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real estate owned and foreclosed assets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99,262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94,526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asset, net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Intangibles,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1,051,318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Non-marketable equity securities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99,669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189,849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171,101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326,040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201,132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27,902,987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27,742,629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6,136,709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6,022,980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14,410,285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13,906,187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1,777,475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1,486,850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FRB Bank Term Funding</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borrowed funds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83,341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81,695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Subordinated debentures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304,592</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225,786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0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24,679,133</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24,722,348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Contingent Liabilities</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Preferred shares, $0.01 par value per share, 1,000,000 shares authorized, none issued or outstanding</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Common stock, $0.01 par value per share, 234,000,000 shares authorized</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Paid-in capital</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2,448,758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2,350,104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Retained earnings - substantially restricted</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1,083,258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1,043,181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(309,296)</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(374,113)</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0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3,223,854</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3,020,281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27,902,987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27,742,629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Number of common stock shares issued and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113,401,955</w:t>
            </w:r>
          </w:p>
        </w:tc>
        <w:tc>
          <w:tcPr>
            <w:tcW w:w="100" w:type="dxa"/>
            <w:vAlign w:val="bottom"/>
          </w:tcPr>
          <w:p>
            <w:pPr>
              <w:spacing w:after="0"/>
              <w:rPr>
                <w:sz w:val="12"/>
                <w:szCs w:val="12"/>
                <w:color w:val="auto"/>
              </w:rPr>
            </w:pPr>
          </w:p>
        </w:tc>
        <w:tc>
          <w:tcPr>
            <w:tcW w:w="15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110,888,942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GLACIER BANCORP,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Years ended</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right"/>
              <w:ind w:right="269"/>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67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(Dollars in thousands, except share and per share data)</w:t>
            </w:r>
          </w:p>
        </w:tc>
        <w:tc>
          <w:tcPr>
            <w:tcW w:w="200" w:type="dxa"/>
            <w:vAlign w:val="bottom"/>
          </w:tcPr>
          <w:p>
            <w:pPr>
              <w:spacing w:after="0"/>
              <w:rPr>
                <w:sz w:val="12"/>
                <w:szCs w:val="12"/>
                <w:color w:val="auto"/>
              </w:rPr>
            </w:pPr>
          </w:p>
        </w:tc>
        <w:tc>
          <w:tcPr>
            <w:tcW w:w="1260" w:type="dxa"/>
            <w:vAlign w:val="bottom"/>
          </w:tcPr>
          <w:p>
            <w:pPr>
              <w:jc w:val="right"/>
              <w:ind w:right="52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22"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195,135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201,930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169,035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89,596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Commercial loans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765,959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669,663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548,969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89,160</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74,734</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interest income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1,139,850</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1,017,655</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829,640</w:t>
            </w:r>
          </w:p>
        </w:tc>
        <w:tc>
          <w:tcPr>
            <w:tcW w:w="0" w:type="dxa"/>
            <w:vAlign w:val="bottom"/>
          </w:tcPr>
          <w:p>
            <w:pPr>
              <w:spacing w:after="0"/>
              <w:rPr>
                <w:sz w:val="1"/>
                <w:szCs w:val="1"/>
                <w:color w:val="auto"/>
              </w:rPr>
            </w:pPr>
          </w:p>
        </w:tc>
      </w:tr>
      <w:tr>
        <w:trPr>
          <w:trHeight w:val="16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272,734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162,426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FRB Bank Term Funding</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borrowed funds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interest expense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435,218</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325,973</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41,261</w:t>
            </w:r>
          </w:p>
        </w:tc>
        <w:tc>
          <w:tcPr>
            <w:tcW w:w="0" w:type="dxa"/>
            <w:vAlign w:val="bottom"/>
          </w:tcPr>
          <w:p>
            <w:pPr>
              <w:spacing w:after="0"/>
              <w:rPr>
                <w:sz w:val="1"/>
                <w:szCs w:val="1"/>
                <w:color w:val="auto"/>
              </w:rPr>
            </w:pPr>
          </w:p>
        </w:tc>
      </w:tr>
      <w:tr>
        <w:trPr>
          <w:trHeight w:val="171"/>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704,632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691,682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788,379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28,306</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19,963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676,326</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676,887</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768,416</w:t>
            </w:r>
          </w:p>
        </w:tc>
        <w:tc>
          <w:tcPr>
            <w:tcW w:w="0" w:type="dxa"/>
            <w:vAlign w:val="bottom"/>
          </w:tcPr>
          <w:p>
            <w:pPr>
              <w:spacing w:after="0"/>
              <w:rPr>
                <w:sz w:val="1"/>
                <w:szCs w:val="1"/>
                <w:color w:val="auto"/>
              </w:rPr>
            </w:pPr>
          </w:p>
        </w:tc>
      </w:tr>
      <w:tr>
        <w:trPr>
          <w:trHeight w:val="16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Service charges and other fees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78,894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Miscellaneous loan fees and charges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sale of loans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Gain on sale of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13,973</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128,446</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118,079</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120,732</w:t>
            </w:r>
          </w:p>
        </w:tc>
        <w:tc>
          <w:tcPr>
            <w:tcW w:w="0" w:type="dxa"/>
            <w:vAlign w:val="bottom"/>
          </w:tcPr>
          <w:p>
            <w:pPr>
              <w:spacing w:after="0"/>
              <w:rPr>
                <w:sz w:val="1"/>
                <w:szCs w:val="1"/>
                <w:color w:val="auto"/>
              </w:rPr>
            </w:pPr>
          </w:p>
        </w:tc>
      </w:tr>
      <w:tr>
        <w:trPr>
          <w:trHeight w:val="16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336,906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309,048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319,303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Occupancy and equipment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Advertising and promotions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Data processing</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real estate owned and foreclosed assets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Regulatory assessments and insurance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Intangibles amortization</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expenses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104,320</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86,988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87,518</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578,468</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527,358</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518,868</w:t>
            </w:r>
          </w:p>
        </w:tc>
        <w:tc>
          <w:tcPr>
            <w:tcW w:w="0" w:type="dxa"/>
            <w:vAlign w:val="bottom"/>
          </w:tcPr>
          <w:p>
            <w:pPr>
              <w:spacing w:after="0"/>
              <w:rPr>
                <w:sz w:val="1"/>
                <w:szCs w:val="1"/>
                <w:color w:val="auto"/>
              </w:rPr>
            </w:pPr>
          </w:p>
        </w:tc>
      </w:tr>
      <w:tr>
        <w:trPr>
          <w:trHeight w:val="171"/>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226,304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267,608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370,280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Federal and state income tax expense</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44,681</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67,078</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190,144</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222,927</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00" w:type="dxa"/>
            <w:vAlign w:val="bottom"/>
            <w:gridSpan w:val="3"/>
            <w:vMerge w:val="continue"/>
          </w:tcPr>
          <w:p>
            <w:pPr>
              <w:spacing w:after="0"/>
              <w:rPr>
                <w:sz w:val="12"/>
                <w:szCs w:val="12"/>
                <w:color w:val="auto"/>
              </w:rPr>
            </w:pPr>
          </w:p>
        </w:tc>
        <w:tc>
          <w:tcPr>
            <w:tcW w:w="200" w:type="dxa"/>
            <w:vAlign w:val="bottom"/>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outstanding shares - basic</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113,170,157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110,864,501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110,757,473</w:t>
            </w:r>
          </w:p>
        </w:tc>
        <w:tc>
          <w:tcPr>
            <w:tcW w:w="0" w:type="dxa"/>
            <w:vAlign w:val="bottom"/>
          </w:tcPr>
          <w:p>
            <w:pPr>
              <w:spacing w:after="0"/>
              <w:rPr>
                <w:sz w:val="1"/>
                <w:szCs w:val="1"/>
                <w:color w:val="auto"/>
              </w:rPr>
            </w:pPr>
          </w:p>
        </w:tc>
      </w:tr>
      <w:tr>
        <w:trPr>
          <w:trHeight w:val="184"/>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outstanding shares - diluted</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113,243,427</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110,890,447</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110,827,933</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5" w:right="31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GLACIER BANCORP,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Years ended</w:t>
            </w:r>
          </w:p>
        </w:tc>
        <w:tc>
          <w:tcPr>
            <w:tcW w:w="14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190,144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222,927</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303,202</w:t>
            </w: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Available-For-Sale and Transferred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gains (losses) on available-for-sale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86,485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125,231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(672,570)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Reclassification adjustment for (losses) gains included in net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Reclassification adjustment for securities transferred from available-for-sale to held-to-maturity</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effect</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(23,291)</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(34,264)</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169,540</w:t>
            </w: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Net of tax amount</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67,892</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96,610</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(501,376)</w:t>
            </w:r>
          </w:p>
        </w:tc>
      </w:tr>
      <w:tr>
        <w:trPr>
          <w:trHeight w:val="160"/>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Flow Hedge: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gains on derivatives used for cash flow hedges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7,809</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Reclassification adjustment for losses included in net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Tax effect</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w:t>
            </w: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of tax amount</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r>
      <w:tr>
        <w:trPr>
          <w:trHeight w:val="171"/>
        </w:trPr>
        <w:tc>
          <w:tcPr>
            <w:tcW w:w="20" w:type="dxa"/>
            <w:vAlign w:val="bottom"/>
          </w:tcPr>
          <w:p>
            <w:pPr>
              <w:spacing w:after="0"/>
              <w:rPr>
                <w:sz w:val="14"/>
                <w:szCs w:val="14"/>
                <w:color w:val="auto"/>
              </w:rPr>
            </w:pPr>
          </w:p>
        </w:tc>
        <w:tc>
          <w:tcPr>
            <w:tcW w:w="66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64,817</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94,679</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(496,151)</w:t>
            </w: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254,961</w:t>
            </w:r>
          </w:p>
        </w:tc>
        <w:tc>
          <w:tcPr>
            <w:tcW w:w="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317,606</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5"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GLACIER BANCORP,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Years ended December 31, 2024, 2023 and 2022</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Retained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340" w:type="dxa"/>
            <w:vAlign w:val="bottom"/>
            <w:gridSpan w:val="4"/>
            <w:vMerge w:val="restart"/>
          </w:tcPr>
          <w:p>
            <w:pPr>
              <w:jc w:val="right"/>
              <w:ind w:right="649"/>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Earnings-</w:t>
            </w:r>
          </w:p>
        </w:tc>
        <w:tc>
          <w:tcPr>
            <w:tcW w:w="13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9"/>
              </w:rPr>
              <w:t>Other Comp-</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3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color w:val="auto"/>
              </w:rPr>
              <w:t>Substantially</w:t>
            </w:r>
          </w:p>
        </w:tc>
        <w:tc>
          <w:tcPr>
            <w:tcW w:w="134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color w:val="auto"/>
              </w:rPr>
              <w:t>rehensive (Loss)</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 except share and per share data)</w:t>
            </w:r>
          </w:p>
        </w:tc>
        <w:tc>
          <w:tcPr>
            <w:tcW w:w="1220" w:type="dxa"/>
            <w:vAlign w:val="bottom"/>
            <w:gridSpan w:val="2"/>
          </w:tcPr>
          <w:p>
            <w:pPr>
              <w:ind w:left="380"/>
              <w:spacing w:after="0" w:line="122" w:lineRule="exact"/>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2"/>
                <w:szCs w:val="12"/>
                <w:color w:val="auto"/>
              </w:rPr>
            </w:pPr>
          </w:p>
        </w:tc>
        <w:tc>
          <w:tcPr>
            <w:tcW w:w="10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4"/>
                <w:szCs w:val="14"/>
                <w:color w:val="auto"/>
              </w:rPr>
              <w:t>Amount</w:t>
            </w:r>
          </w:p>
        </w:tc>
        <w:tc>
          <w:tcPr>
            <w:tcW w:w="12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4"/>
                <w:szCs w:val="14"/>
                <w:color w:val="auto"/>
              </w:rPr>
              <w:t>Paid-in Capital</w:t>
            </w:r>
          </w:p>
        </w:tc>
        <w:tc>
          <w:tcPr>
            <w:tcW w:w="13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8"/>
              </w:rPr>
              <w:t>Restricted</w:t>
            </w:r>
          </w:p>
        </w:tc>
        <w:tc>
          <w:tcPr>
            <w:tcW w:w="13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w w:val="99"/>
              </w:rPr>
              <w:t>Income</w:t>
            </w:r>
          </w:p>
        </w:tc>
        <w:tc>
          <w:tcPr>
            <w:tcW w:w="1140" w:type="dxa"/>
            <w:vAlign w:val="bottom"/>
          </w:tcPr>
          <w:p>
            <w:pPr>
              <w:jc w:val="right"/>
              <w:ind w:right="349"/>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110,687,533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2,338,814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810,342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27,359</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3,177,622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303,202</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303,202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(496,151)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 declared ($1.32 per share)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(146,560)</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issuances under stock incentive plans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and related taxes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110,777,780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2,344,005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966,984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2,843,305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Borders>
              <w:top w:val="single" w:sz="8" w:color="CCEEFF"/>
            </w:tcBorders>
            <w:gridSpan w:val="2"/>
            <w:vMerge w:val="continue"/>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222,927</w:t>
            </w:r>
          </w:p>
        </w:tc>
        <w:tc>
          <w:tcPr>
            <w:tcW w:w="100" w:type="dxa"/>
            <w:vAlign w:val="bottom"/>
          </w:tcPr>
          <w:p>
            <w:pPr>
              <w:spacing w:after="0"/>
              <w:rPr>
                <w:sz w:val="12"/>
                <w:szCs w:val="12"/>
                <w:color w:val="auto"/>
              </w:rPr>
            </w:pPr>
          </w:p>
        </w:tc>
        <w:tc>
          <w:tcPr>
            <w:tcW w:w="12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222,927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94,679</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 declared ($1.32 per share)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(146,730)</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(146,730)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issuances under stock incentive plans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and related taxes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110,888,942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Borders>
              <w:top w:val="single" w:sz="8" w:color="CCEEFF"/>
            </w:tcBorders>
            <w:gridSpan w:val="2"/>
            <w:vMerge w:val="continue"/>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190,144</w:t>
            </w:r>
          </w:p>
        </w:tc>
        <w:tc>
          <w:tcPr>
            <w:tcW w:w="100" w:type="dxa"/>
            <w:vAlign w:val="bottom"/>
          </w:tcPr>
          <w:p>
            <w:pPr>
              <w:spacing w:after="0"/>
              <w:rPr>
                <w:sz w:val="12"/>
                <w:szCs w:val="12"/>
                <w:color w:val="auto"/>
              </w:rPr>
            </w:pPr>
          </w:p>
        </w:tc>
        <w:tc>
          <w:tcPr>
            <w:tcW w:w="12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190,144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 declared ($1.32 per share)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(150,067)</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issued in connection with acquisitions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2,389,684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92,361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issuances under stock incentive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and related taxes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113,401,955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2,448,758</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1,083,258</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(309,296)</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5" w:right="33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GLACIER BANCORP,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Years ended</w:t>
            </w:r>
          </w:p>
        </w:tc>
        <w:tc>
          <w:tcPr>
            <w:tcW w:w="1460" w:type="dxa"/>
            <w:vAlign w:val="bottom"/>
            <w:tcBorders>
              <w:bottom w:val="single" w:sz="8" w:color="auto"/>
            </w:tcBorders>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right"/>
              <w:ind w:right="269"/>
              <w:spacing w:after="0" w:line="135" w:lineRule="exact"/>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67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22"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190,144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303,202</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19,963</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amortization of debt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29,587</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amortization of purchase accounting adjustments and deferred loan fees and costs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Origination of loans held for sale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(665,181)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(435,649)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(743,212)</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Proceeds from loans held for sale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738,134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549,778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844,940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Gain on sale of loans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(20,032)</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Gain on sale of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Bank-owned life insurance income, net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Stock-based compensation, net of tax benefits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 of premises and equipment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25,830</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(Gain) loss on dispositions of premises and equipment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Gain on sale and write-downs of other real estate owned, net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Deferred tax expense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Amortization of core deposit and other intangibles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10,658</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Amortization of investments in variable interest entities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(increase) in accrued interest receivable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decrease (increase) in other assets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increase in accrued interest payable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121,576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Net (decrease) increase in other liabilities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7,822</w:t>
            </w: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258,037</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500,715</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470,660</w:t>
            </w:r>
          </w:p>
        </w:tc>
      </w:tr>
      <w:tr>
        <w:trPr>
          <w:trHeight w:val="16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Sales of debt securities, available-for-sale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237,502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326,302</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Maturities, prepayments and calls of available-for-sale debt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609,118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621,878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1,101,420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debt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(50,148)</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(471,581)</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Maturities, prepayments and calls of held-to-maturity debt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204,645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209,909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211,700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held-to-maturity debt securities</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(523,060)</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Termination of interest rate swaps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(19,825)</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collected on loans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4,007,266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2,946,294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5,432,753</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Loan originations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(4,438,907)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(4,013,701)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(7,296,411)</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premises and equipment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additions to premises and equipment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(33,763)</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other real estate owned</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Proceeds from redemption of non-marketable equity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149,873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630,584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366,467</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non-marketable equity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(233,288)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(559,601)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(438,398)</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Investments in variable interest entities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(40,967)</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cash received from acquisitions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107,684</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6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493,141</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(207,492)</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(1,351,782)</w:t>
            </w: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5" w:right="31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GLACIER BANCORP,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Years ended</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7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Pr>
          <w:p>
            <w:pPr>
              <w:spacing w:after="0"/>
              <w:rPr>
                <w:sz w:val="11"/>
                <w:szCs w:val="11"/>
                <w:color w:val="auto"/>
              </w:rPr>
            </w:pPr>
          </w:p>
        </w:tc>
        <w:tc>
          <w:tcPr>
            <w:tcW w:w="14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December 31, 2024</w:t>
            </w: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December 31, 2023</w:t>
            </w:r>
          </w:p>
        </w:tc>
        <w:tc>
          <w:tcPr>
            <w:tcW w:w="1460" w:type="dxa"/>
            <w:vAlign w:val="bottom"/>
          </w:tcPr>
          <w:p>
            <w:pPr>
              <w:jc w:val="right"/>
              <w:ind w:right="109"/>
              <w:spacing w:after="0" w:line="118" w:lineRule="exact"/>
              <w:rPr>
                <w:sz w:val="20"/>
                <w:szCs w:val="20"/>
                <w:color w:val="auto"/>
              </w:rPr>
            </w:pPr>
            <w:r>
              <w:rPr>
                <w:rFonts w:ascii="Times New Roman" w:cs="Times New Roman" w:eastAsia="Times New Roman" w:hAnsi="Times New Roman"/>
                <w:sz w:val="13"/>
                <w:szCs w:val="13"/>
                <w:color w:val="auto"/>
              </w:rPr>
              <w:t>December 31, 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decrease in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(394,570)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(676,652)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(729,707)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increase (decrease) in securities sold under agreements to repurchase</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286,320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540,934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(decrease) increase in short-term Federal Home Loan Bank advances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short-term FRB Bank Term Funding</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Repayments of short-term FRB Bank Term Funding</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long-term Federal Home Loan Bank advances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increase in other borrowed funds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dividends paid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(150,034)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(146,690)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Tax withholding payments for stock-based compensation</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(1,257,112)</w:t>
            </w:r>
          </w:p>
        </w:tc>
        <w:tc>
          <w:tcPr>
            <w:tcW w:w="8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659,124</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845,431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(505,934)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952,347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401,995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437,686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401,995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528,911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204,397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55,197</w:t>
            </w:r>
          </w:p>
        </w:tc>
        <w:tc>
          <w:tcPr>
            <w:tcW w:w="0" w:type="dxa"/>
            <w:vAlign w:val="bottom"/>
          </w:tcPr>
          <w:p>
            <w:pPr>
              <w:spacing w:after="0"/>
              <w:rPr>
                <w:sz w:val="1"/>
                <w:szCs w:val="1"/>
                <w:color w:val="auto"/>
              </w:rPr>
            </w:pPr>
          </w:p>
        </w:tc>
      </w:tr>
      <w:tr>
        <w:trPr>
          <w:trHeight w:val="18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Activities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Transfer of debt securities from held-to-maturity to available-for-sale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2,154,475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Sale and refinancing of other real estate owned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Transfer of loans to other real estate owned</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Right-of-use assets obtained in exchange for new lease liabilities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Equity investments obtained in exchange or delayed equity contributions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Dividends declared during the period but not paid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Fair value of common stock shares issued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92,385</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Cash consideration</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26,009</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1,180,757</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Liabilities assumed</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1,087,601</w:t>
            </w:r>
          </w:p>
        </w:tc>
        <w:tc>
          <w:tcPr>
            <w:tcW w:w="8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5"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GLACIER BANCORP,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 and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General</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Glacier Bancorp, Inc. (“Company”) is a Montana corporation headquartered in Kalispell, Montana. The Company provides a full range of banking services to individuals and businesses in Montana, Idaho, Utah, Washington, Wyoming, Colorado, Arizona and Nevada through its wholly-owned bank subsidiary, Glacier Bank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Material estimates that are particularly susceptible to significant change include: 1) the determination of the allowance for credit losses (“ACL” or “allowance”) on loans; 2) the valuation of debt securities; and 3) the evaluation of goodwill impairment. For the determination of the ACL on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independent party inputs.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Principles of Consolidation</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consolidated financial statements of the Company include the parent holding company and the Bank, which consists of seventeen bank divisions and a corporate division. The corporate division includes the Bank’s investment portfolio, wholesale borrowings and other centralized functions. The Bank divisions operate under separate names, management teams and advisory directors.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Bank has subsidiary interests in variable interest entities (“VIE”) for which the Bank has both the power to direct the VIE’s significant activities and the obligation to absorb losses or right to receive benefits of the VIE that could potentially be significant to the VIE. These subsidiary interests are included in the Company’s consolidated financial statements. The Bank also has subsidiary interests in VIEs for which the Bank does not have a controlling financial interest and is not the primary beneficiary. These subsidiary interests are not included in the Company’s consolidated financial statements. For additional information on the Bank’s interest in VIEs, see Note 7.</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parent holding company owns non-bank subsidiaries that have issued trust preferred securities. The trust subsidiaries are not included in the Company’s consolidated financial statements. The Company's investments in the trust subsidiaries are included in other assets on the Company's statements of financial condition.</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31, 2024, the Company completed the acquisition of Community Financial Group, Inc. and its wholly-owned subsidiary, Wheatland Bank (“Wheatland”), a community bank based in Spokane, Washington. The business combination was accounted for using the acquisition method, with the results of operations included in the Company’s consolidated financial statements as of the acquisition date.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19, 2024, the Bank completed its acquisition of six Montana branch banking offices of Rocky Mountain Bank (“RMB”) from HTLF Bank (”HTLF”), a wholly owned subsidiary of Heartland Financial USA, Inc. The RMB branches are located in Billings, Bozeman, Plentywood, Stevensville, and Whitehall. The business combination was accounted for using the acquisition method, with the results of operations included in the Company’s consolidated financial statements as of the acquisition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Segment Reporting</w:t>
      </w:r>
    </w:p>
    <w:p>
      <w:pPr>
        <w:spacing w:after="0" w:line="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The Company operates as a single segment entity for financial reporting purposes and has adopted ASU 2023-07,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the year ended December 31, 2024. The Company has determined that its current operating model is structured whereby banking locations and divisions serve a similar base of commercial and retail customers for which the Company provides similar products and services managed through similar processes and technology platforms. The Chief Executive Officer (“CEO”) serves as the Company’s chief operating decision maker (“CODM”). The CODM allocates resources and assesses performance of the Company based on the consolidated performance, excluding all significant intercompany balances and transactions of the Company and its wholly owned subsidiary, the banking segment, and does not significantly utilize disaggregated segment financial information for decision making and resource allocation. The CODM assesses performance for the banking segment and decides how to allocate resources based on net income as reported on the consolidated statements of operations as consolidated net income. Accordingly, all of</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70" w:name="page71"/>
    <w:bookmarkEnd w:id="70"/>
    <w:p>
      <w:pPr>
        <w:spacing w:after="0" w:line="271" w:lineRule="auto"/>
        <w:rPr>
          <w:sz w:val="20"/>
          <w:szCs w:val="20"/>
          <w:color w:val="auto"/>
        </w:rPr>
      </w:pPr>
      <w:r>
        <w:rPr>
          <w:rFonts w:ascii="Times New Roman" w:cs="Times New Roman" w:eastAsia="Times New Roman" w:hAnsi="Times New Roman"/>
          <w:sz w:val="14"/>
          <w:szCs w:val="14"/>
          <w:color w:val="auto"/>
        </w:rPr>
        <w:t>the Company’s operations are considered by management to be aggregated in one reportable operating segment, the banking segment. All categories of interest expense and non-interest expense as disclosed on the Company’s consolidated statements of operations are considered significant to the banking segment.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reviewed the requirements of ASU 2023-07 and has determined that no additional segment disclosures are required, specifically as a result of the following;</w:t>
      </w:r>
    </w:p>
    <w:p>
      <w:pPr>
        <w:spacing w:after="0" w:line="179"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use the tracked performance on the disaggregated segment level for decision-making or resource allocation purposes,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significant segment-specific expenses or performance metrics are used internally for decision-making or resource allocation purposes, and</w:t>
      </w: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financial consolidation presented in these financial statements aligns with the CODM’s internal reporting and decision-making process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this assessment the Company’s financial statement disclosures fully comply with ASC 2023-07, and no additional qualitative segment disclosures are necessary.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Cash Equivalents and Interest Bearing Cash Deposits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Cash and cash equivalents include cash on hand, cash held as demand deposits at various banks and the Federal Reserve Bank (“FRB”), interest bearing deposits, federal funds sold, and liquid investments with original maturities of three months or less. Interest bearing deposits are maintained at other financial institutions as collateral for certain derivative contracts and are considered restricted cash. Interest earned on interest bearing cash deposits was $31,158,000 and $42,298,000 for the years ended December 31, 2024 and December 31, 2023, respectively, and are included in interest income on investment securities on the consolidated statements of operations. The Company had $0 and $17,440,000 of restricted cash held as collateral for derivative contracts as of December 31, 2024 and December 31, 2023, respectively. The Bank is required to maintain an average reserve balance with either the FRB or in the form of cash on hand at a reserve rate determined by the FRB. Effective March 26, 2020, the FRB Board reduced the reserve requirement ratio to zero percent. The required reserve balance at December 31, 2024 was zero.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Securities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Debt securities for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debt security is investment grade if the issuer has adequate capacity to meet its commitment over the expected life of the investment, i.e., the risk of default is low and full and timely repayment of interest and principal is expected. To determine 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1" w:name="page72"/>
    <w:bookmarkEnd w:id="71"/>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relating to debt securities, see Note 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Available-for-Sale Debt Securities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available-for-sale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available-for-sale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elected to exclude accrued interest from the estimate of credit losses for available-for-sale debt securities. As part of its non-accrual policy, the Company charges-off uncollectable interest at the time it is determined to be uncollectable.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Held-to-Maturity Debt Securities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For estimating the allowance for held-to-maturity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held-to-maturity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elected to exclude accrued interest from the estimate of credit losses for held-to-maturity debt securities. As part of its non-accrual policy, the Company charges off uncollectable interest at the time it is determined to be uncollectable.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Held for Sale</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Loans held for sale generally consist of long-term, fixed rate, conforming, single-family residential real estate loans intended to be sold on the secondary market. Loans held for sale are recorded at fair value and may or may not be sold with servicing rights released. Changes in fair value are recognized in gain on sale of loans included in non-interest income. Fair value elections are made at the time of origination based on the Company’s fair value election policy.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Receivable</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Company’s loan segments or classes are based on the purpose of the loan and consist of residential real estate, commercial real estate, other commercial, home equity, and other consumer loans. Loans that are intended at origination to be held-to-maturity, are reported at the unpaid principal balance less net charge-offs and adjusted for deferred fees and costs on originated loans and unamortized premiums or discounts on acquired loans. Interest income is accrued on the unpaid principal balance. 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2" w:name="page73"/>
    <w:bookmarkEnd w:id="72"/>
    <w:p>
      <w:pPr>
        <w:jc w:val="both"/>
        <w:spacing w:after="0" w:line="259" w:lineRule="auto"/>
        <w:rPr>
          <w:sz w:val="20"/>
          <w:szCs w:val="20"/>
          <w:color w:val="auto"/>
        </w:rPr>
      </w:pPr>
      <w:r>
        <w:rPr>
          <w:rFonts w:ascii="Times New Roman" w:cs="Times New Roman" w:eastAsia="Times New Roman" w:hAnsi="Times New Roman"/>
          <w:sz w:val="14"/>
          <w:szCs w:val="14"/>
          <w:color w:val="auto"/>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relating to loans, see Note 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Loans Receivable</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is increased for estimated credit losses which are recorded as expense.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expected credit loss estimate process involves procedures to consider the unique characteristics of each of the Company’s loan portfolio segments, which consist of residential real estate, commercial real estate, other commercial, home equity, and other consumer loans. When computing the allowance levels, credit loss assumptions are estimated using a model that categorizes loan pools based on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Residential Real Estate. </w:t>
      </w:r>
      <w:r>
        <w:rPr>
          <w:rFonts w:ascii="Times New Roman" w:cs="Times New Roman" w:eastAsia="Times New Roman" w:hAnsi="Times New Roman"/>
          <w:sz w:val="14"/>
          <w:szCs w:val="14"/>
          <w:color w:val="auto"/>
        </w:rPr>
        <w:t>Residential real estate loans are secured by owner-occupied 1-4 family residences. Repayment of these loans is primarily dependent on the personal income and credit 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Commercial Real Estate</w:t>
      </w:r>
      <w:r>
        <w:rPr>
          <w:rFonts w:ascii="Times New Roman" w:cs="Times New Roman" w:eastAsia="Times New Roman" w:hAnsi="Times New Roman"/>
          <w:sz w:val="14"/>
          <w:szCs w:val="14"/>
          <w:color w:val="auto"/>
        </w:rPr>
        <w:t>. Commercial real estate loans typically involve larger principal amounts, and repayment of these loans is generally dependent on the successful operation of the property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3" w:name="page74"/>
    <w:bookmarkEnd w:id="73"/>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Commercial</w:t>
      </w:r>
      <w:r>
        <w:rPr>
          <w:rFonts w:ascii="Times New Roman" w:cs="Times New Roman" w:eastAsia="Times New Roman" w:hAnsi="Times New Roman"/>
          <w:sz w:val="14"/>
          <w:szCs w:val="14"/>
          <w:color w:val="auto"/>
        </w:rPr>
        <w:t>. Commercial loans consist of loans to commercial customers for use in financing working capital needs, equipment purchases and business expansions. The loans in this category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Home Equity</w:t>
      </w:r>
      <w:r>
        <w:rPr>
          <w:rFonts w:ascii="Times New Roman" w:cs="Times New Roman" w:eastAsia="Times New Roman" w:hAnsi="Times New Roman"/>
          <w:sz w:val="14"/>
          <w:szCs w:val="14"/>
          <w:color w:val="auto"/>
        </w:rPr>
        <w:t>. Home equity loans consist of junior lien mortgages and first and junior lien lines of credit (revolving open-end and amortizing closed-end) secured by owner-occupied 1-4 family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Other Consumer</w:t>
      </w:r>
      <w:r>
        <w:rPr>
          <w:rFonts w:ascii="Times New Roman" w:cs="Times New Roman" w:eastAsia="Times New Roman" w:hAnsi="Times New Roman"/>
          <w:sz w:val="14"/>
          <w:szCs w:val="14"/>
          <w:color w:val="auto"/>
        </w:rPr>
        <w:t>. The other consumer loan portfolio consists of various short-term loans such as automobile loans and loans for other personal purposes. Repayment of these loans is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dependent on the personal income of the borrowers. Credit risk is driven by consumer economic factors (such as unemployment and general economic conditions in the Company’s diverse, geographic market areas) and the creditworthiness of a borrower.</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Loans that do not Share Similar Risk Characteristics with Other Loans. </w:t>
      </w:r>
      <w:r>
        <w:rPr>
          <w:rFonts w:ascii="Times New Roman" w:cs="Times New Roman" w:eastAsia="Times New Roman" w:hAnsi="Times New Roman"/>
          <w:sz w:val="14"/>
          <w:szCs w:val="14"/>
          <w:color w:val="auto"/>
        </w:rPr>
        <w:t>For a loan that does not share similar risk characteristics with other loans, expected credit loss is measured based on the net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(new or updated) include the cost approach, income approach, sales comparison approach, or a combination of the preceding valuation techniques. The Company’s credit department reviews appraisals, giving consideration to the highest and best use of the collateral. The appraisals or evaluations (new or updated)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 (new or updated).</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Loans that Share Similar Risk Characteristics with other Loans. </w:t>
      </w:r>
      <w:r>
        <w:rPr>
          <w:rFonts w:ascii="Times New Roman" w:cs="Times New Roman" w:eastAsia="Times New Roman" w:hAnsi="Times New Roman"/>
          <w:sz w:val="14"/>
          <w:szCs w:val="14"/>
          <w:color w:val="auto"/>
        </w:rPr>
        <w:t>For estimating the allowance for loans that share similar risk characteristics with other loans, such loans are segregated into loan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forecast period by a multiplier that is calculated based upon current national economic forecasts as a proportion of each segment’s historical average loss levels. The Company will then revert from the economic forecast period back to the historical average loss rate in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4" w:name="page75"/>
    <w:bookmarkEnd w:id="74"/>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lending policies and procedures;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national, regional and local economic business conditions, developments, or environmental conditions that affect the collectability of the portfolio, including the condition of various markets;</w:t>
      </w: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and volume of the loan portfolio including the terms of the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experience, ability, and depth of the lending management and other relevant staff;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and severity of past due and adversely classified or graded loans and the volume of non-accrual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our loan review system;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underlying collateral for collateralized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and effect of any concentrations of credit, and changes in the level of concentrations;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external factors such as competition and legal and regulatory requirements on the level of estimated credit losses in the existing portfolio.</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commercial real estate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commercial real estate and commercial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Pass Loans. </w:t>
      </w:r>
      <w:r>
        <w:rPr>
          <w:rFonts w:ascii="Times New Roman" w:cs="Times New Roman" w:eastAsia="Times New Roman" w:hAnsi="Times New Roman"/>
          <w:sz w:val="14"/>
          <w:szCs w:val="14"/>
          <w:color w:val="auto"/>
        </w:rPr>
        <w:t>These ratings represent loans that are of acceptable, good or excellent quality with very limited to no risk. Loans that do not have one of the following ratings are considered pass loans.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Special Mention Loans. </w:t>
      </w:r>
      <w:r>
        <w:rPr>
          <w:rFonts w:ascii="Times New Roman" w:cs="Times New Roman" w:eastAsia="Times New Roman" w:hAnsi="Times New Roman"/>
          <w:sz w:val="14"/>
          <w:szCs w:val="14"/>
          <w:color w:val="auto"/>
        </w:rPr>
        <w:t>These ratings represent loans that are designated as special mention per the regulatory definition. Special mention loans are currently protected but are potentially weak.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Bank’s credit position. Examples include a lack of supervision, inadequate loan agreement, condition, or control of collateral, incomplete, or improper documentation, deviations from lending policy, and adverse trends in operations or economic conditions.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Substandard Loans. </w:t>
      </w:r>
      <w:r>
        <w:rPr>
          <w:rFonts w:ascii="Times New Roman" w:cs="Times New Roman" w:eastAsia="Times New Roman" w:hAnsi="Times New Roman"/>
          <w:sz w:val="14"/>
          <w:szCs w:val="14"/>
          <w:color w:val="auto"/>
        </w:rPr>
        <w:t>This rating represents loans that are inadequately protected by the current sound worth and paying capacity of the obligor or of the collateral pledged. A loan so classified must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a well-defined weakness that jeopardizes the liquidation of the debt. These loans are characterized by the distinct possibility that the Bank will sustain some loss if the deficiencies are not corrected. Loss potential, while existing in the aggregated amount of substandard loans, does not have to exist in an individual loan classified substandard.</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Doubtful/Loss Loans. </w:t>
      </w:r>
      <w:r>
        <w:rPr>
          <w:rFonts w:ascii="Times New Roman" w:cs="Times New Roman" w:eastAsia="Times New Roman" w:hAnsi="Times New Roman"/>
          <w:sz w:val="14"/>
          <w:szCs w:val="14"/>
          <w:color w:val="auto"/>
        </w:rPr>
        <w:t>A loan classified as doubtful has the characteristics that make collection in full, on the basis of currently existing facts, conditions, and values, highly improbable.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Bank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Modifications</w:t>
      </w:r>
    </w:p>
    <w:p>
      <w:pPr>
        <w:spacing w:after="0" w:line="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identifies modifications to borrowers experiencing financial difficulty (“MBFD”) as a loan that has been modified for the borrower that is experiencing financial difficulties. The Company considers some of the indicators that a borrower is experiencing financial difficulty to be: currently in payment default on any 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modified.The allowance for credit losses on a loans that are considered MBFD’s are measured using the same method as all other loans held for investment.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Off-Balance Sheet Credit Exposures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maintains a separate allowance for credit losses for off-balance sheet credit exposures, including unfunded loan commitments. Such ACL is included in other liabilities on the Company’s statements of financial condition. The Company estimates the amount of expected losses by calculating a commitment usage factor over the contractual period for exposures and applying the loss factors used in the allowance for credit loss methodology to the results of the usage calculation to estimate the liability for credit losses related to unfunded commitments for each loan segment. No credit loss estimate is reported for off-balance sheet credit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75" w:name="page76"/>
    <w:bookmarkEnd w:id="75"/>
    <w:p>
      <w:pPr>
        <w:jc w:val="both"/>
        <w:spacing w:after="0" w:line="287" w:lineRule="auto"/>
        <w:rPr>
          <w:sz w:val="20"/>
          <w:szCs w:val="20"/>
          <w:color w:val="auto"/>
        </w:rPr>
      </w:pPr>
      <w:r>
        <w:rPr>
          <w:rFonts w:ascii="Times New Roman" w:cs="Times New Roman" w:eastAsia="Times New Roman" w:hAnsi="Times New Roman"/>
          <w:sz w:val="14"/>
          <w:szCs w:val="14"/>
          <w:color w:val="auto"/>
        </w:rPr>
        <w:t>exposures that are unconditionally cancellable by the Bank or for unfunded amounts under such arrangements that may be drawn prior to the cancellation of the arrangement. At December 31, 2024 and 2023, the Company had an ACL of $20,419,000 and $19,292,000, respectively, for off-balance sheet credit exposures.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Provision for Credit Losses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recognizes provision for credit losses on the allowance for off-balance sheet credit exposures (e.g., unfunded loan commitments) together with provision for credit losses on the loan portfolio in the income statement line item provision for credit losses.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presents the provision for credit losses on the loan portfolio and off-balance sheet exposures: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Year ended</w:t>
            </w:r>
          </w:p>
        </w:tc>
        <w:tc>
          <w:tcPr>
            <w:tcW w:w="146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2"/>
                <w:szCs w:val="12"/>
                <w:color w:val="auto"/>
              </w:rPr>
            </w:pPr>
          </w:p>
        </w:tc>
        <w:tc>
          <w:tcPr>
            <w:tcW w:w="146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 loans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20,790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17,433</w:t>
            </w:r>
          </w:p>
        </w:tc>
      </w:tr>
      <w:tr>
        <w:trPr>
          <w:trHeight w:val="180"/>
        </w:trPr>
        <w:tc>
          <w:tcPr>
            <w:tcW w:w="20" w:type="dxa"/>
            <w:vAlign w:val="bottom"/>
            <w:tcBorders>
              <w:bottom w:val="single" w:sz="8" w:color="CCEEFF"/>
            </w:tcBorders>
          </w:tcPr>
          <w:p>
            <w:pPr>
              <w:spacing w:after="0"/>
              <w:rPr>
                <w:sz w:val="15"/>
                <w:szCs w:val="15"/>
                <w:color w:val="auto"/>
              </w:rPr>
            </w:pPr>
          </w:p>
        </w:tc>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credit loss unfunded</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(5,995)</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provision for credit losses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28,306</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14,795</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provision for credit losses on debt securities for the years ended December 31, 2024, 2023, and 2022,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Premises and Equipment</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 For additional information relating to premises and equipment, see Note 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net premises and equipment as right-of-use (“ROU”) assets. The operating leases have other liabilities on the Company’s statements of financial condition and lease expense for lease payments is recognized on a straight-line basis over the lease term. The finance leases have liabilities that are included in other borrowed funds on the Company’s statements of financial condition. Right-of-use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based on the information available at commencement date is used in determining the present value of the lease payments. A lease term may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payments for short-term leases of 12 months or less on a straight-line basis over the lease term, and exclude such leases from the Company’s statements of financial condition. Renewal and termination options are considered when determining short-term leases. Leases are accounted for on an individual lease level.</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 improvements incurred at the inception of the lease are recorded as an asset and depreciated over the initial term of the lease and lease improvements incurred subsequently are depreciated over the remaining term of the lease.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Real Estate Owned</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OREO is recorded in non-interest income or non-interest expense, respectively. In determining the fair value of the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6" w:name="page77"/>
    <w:bookmarkEnd w:id="76"/>
    <w:p>
      <w:pPr>
        <w:jc w:val="both"/>
        <w:spacing w:after="0" w:line="287" w:lineRule="auto"/>
        <w:rPr>
          <w:sz w:val="20"/>
          <w:szCs w:val="20"/>
          <w:color w:val="auto"/>
        </w:rPr>
      </w:pPr>
      <w:r>
        <w:rPr>
          <w:rFonts w:ascii="Times New Roman" w:cs="Times New Roman" w:eastAsia="Times New Roman" w:hAnsi="Times New Roman"/>
          <w:sz w:val="14"/>
          <w:szCs w:val="14"/>
          <w:color w:val="auto"/>
        </w:rPr>
        <w:t>properties on the date of transfer and any subsequent estimated losses of net realizable value, the fair value of other real estate acquired by foreclosure or deed-in-lieu of foreclosure is determined primarily based upon appraisal or evaluation of the underlying property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Long-lived Assets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Long-lived assets are reviewed for impairment whenever events or changes in circumstances indicate that the carrying amount of an asset may not be recoverable. An asset is deemed impaired if the sum of the expected future cash flows is less than the carrying amount of the asset. If impaired, an impairment loss is recognized in other expense to reduce the carrying value of the asset to fair value. At December 31, 2024 and 2023, no long-lived assets were considered materially impaired.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Business Combinations and Intangible Assets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Adjustment of the allocated purchase price may be related to fair value estimates for which all information has not been obtained of the acquired entity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 For additional information relating to core deposit intangibles, see Note 5.</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tests goodwill for impairment at the reporting unit level annually during the third quarter. The Company has identified that each of the Bank divisions are reporting units (i.e., components of the Glacier Bank operating segment) given that each division has a separate management team that regularly reviews its respective division financial information; however, the reporting units are aggregated into a single reporting unit due to the reporting units having similar economic characteristics.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spacing w:after="0" w:line="39"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change in legal factors or in the business climate;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adverse action or assessment by a regulator;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competition;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loss of key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more-likely-than-not expectation that a reporting unit or a significant portion of a reporting unit will be sold or otherwise disposed of;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testing for recoverability of a significant asset group within a reporting unit.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2024 and 2023 annual goodwill impairment testing and proceed directly to the goodwill impairment assessment. The goodwill impairment process requires the Company to make assumptions and judgments regarding fair value. The Company calculates an implied fair value and if the implied fair value is less than the carrying value, an impairment loss is recognized for the difference. For additional information relating to goodwill, see Note 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 Servicing Rights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7" w:name="page78"/>
    <w:bookmarkEnd w:id="77"/>
    <w:p>
      <w:pPr>
        <w:jc w:val="both"/>
        <w:spacing w:after="0" w:line="287" w:lineRule="auto"/>
        <w:rPr>
          <w:sz w:val="20"/>
          <w:szCs w:val="20"/>
          <w:color w:val="auto"/>
        </w:rPr>
      </w:pPr>
      <w:r>
        <w:rPr>
          <w:rFonts w:ascii="Times New Roman" w:cs="Times New Roman" w:eastAsia="Times New Roman" w:hAnsi="Times New Roman"/>
          <w:sz w:val="14"/>
          <w:szCs w:val="14"/>
          <w:color w:val="auto"/>
        </w:rPr>
        <w:t>Changes in the valuation allowance are recorded in other income. The fair value of the servicing assets are subject to significant fluctuations as a result of changes in estimated actual prepayment speeds and default rates and losses.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Servicing fee income is recognized in other income for fees earned for servicing loans. The fees are based on contractual percentage of the outstanding principal; or a fixed amount per loan and is recorded when earned. The amortization of loan servicing fees is netted against loan servicing fee income. For additional information relating to loan servicing rights, see Note 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Securities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Non-marketable equity securities primarily consist of Federal Home Loan Bank (“FHLB”) stock.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has an insignificant amount of equity securities that are included in other assets on the Company’s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Reserve Bank Term Funding Program</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first quarter of 2023, the FRB offered a new Bank Term Funding Program (“BTFP”) for eligible depository institutions. The BTFP offered loans of up to one year in length to institutions pledging collateral eligible for purchase by the FRB in open market operations such as U.S. Treasuries, U.S. Agency securities, and U.S. agency mortgage-backed securities. These assets were valued at par for pledging purposes. The Company paid off this borrowing in the first quarter of 2024.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Borrowings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Borrowings of the Company’s consolidated variable interest entities and finance lease arrangements are included in other borrowings. For additional information relating to VIE’s, see Note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Bank-Owned Life Insurance</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Derivatives and Hedging Activities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is exposed to certain risks relating to its ongoing operations. The primary risk managed by using derivative instruments is interest rate risk. Interest rate cap contracts have been entered into to manage interest rate risk associated with variable rate borrowings and were designated as cash flow hedges. Interest rate swap contracts have been entered into to manage interest rate risk associated with fixed rate debt securities and were designated as fair value hedges. The Company does not enter into derivative instruments for trading or speculative purposes.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hedges and cash flow hedges were recognized as other assets or other liabilities on the Company’s statements of financial condition and were measured at fair value. For the fair value hedges, the gain or loss on the derivative, as well as the offsetting loss or gain on the hedged item attributable to the hedged risk, are recognized in current earnings as fair values change. For a cash flow hedge, the gain or loss on the derivative is reported in other comprehensive income and is reclassified into earnings in the same periods during which the hedged transaction affects earnings. Cash flows resulting from the fair value hedges and cash flow hedges were classified in the Company’s cash flow statement in the same category as the cash flows of the items being hedged.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designated are highly effective in offsetting changes in fair values or cash flows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relating to the derivatives and hedging activity, see Note 11.</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auto"/>
        </w:rPr>
        <w:t>Revenue Recognition</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recognizes revenue when services or products are transferred to customers in an amount that reflects the consideration to which the Company expects to be entitled. The Company’s principal source of revenue is interest income from debt securities and loans. Revenue from contracts with customers within the scope of ASC Topic 606 was $94,011,000, $88,547,000, and $82,850,000 for the years ended December 31, 2024, 2023, and 2022, respectively, and largely consisted of revenue from service charges and other fees from deposits (e.g., overdraft fees, ATM fees, debit card fees). Due to the short-term nature of the Company’s contracts with customers, an insignificant amount of receivables related to such revenue was recorded at December 31, 2024 and 2023 and there were no impairment losses recognized. Policies specific to revenue from contracts with customers include the following:</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Service Charges. </w:t>
      </w:r>
      <w:r>
        <w:rPr>
          <w:rFonts w:ascii="Times New Roman" w:cs="Times New Roman" w:eastAsia="Times New Roman" w:hAnsi="Times New Roman"/>
          <w:sz w:val="14"/>
          <w:szCs w:val="14"/>
          <w:color w:val="auto"/>
        </w:rPr>
        <w:t>Revenue from service charges consists of service charges and fees on deposit accounts under depository agreements with customers to provide access to deposited funds and, when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Debit Card Fees. </w:t>
      </w:r>
      <w:r>
        <w:rPr>
          <w:rFonts w:ascii="Times New Roman" w:cs="Times New Roman" w:eastAsia="Times New Roman" w:hAnsi="Times New Roman"/>
          <w:sz w:val="14"/>
          <w:szCs w:val="14"/>
          <w:color w:val="auto"/>
        </w:rPr>
        <w:t>Revenue from debit card fees includes interchange fee income from debit cards processed through card association networks. Interchange fees represent a portion of a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Stock-based compensation awards granted, comprised of restricted stock units and stock options, are valued at fair value and compensation cost is recognized on a straight-line basis over the requisite service period of each award. The impact of forfeitures of stock-based compensation awards on compensation expense is recognized as forfeitures occur. For additional information relating to stock-based compensation, see Note 13.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Advertising and Promotion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and promotion costs are recognized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Income Taxes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income tax expense consists of current and deferred income tax expense. Current income tax expense reflects taxes to be paid or refunded for the current period by applying the provisions of enacted tax law to earnings or losses. Deferred income tax expense results from changes in deferred tax assets and liabilities between periods. The Company recognizes interest and penalties related to income tax matters in income tax expense.</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and liabilities are recognized for estimated future income tax consequences attributable to differences between the financial statement carrying amounts of assets and liabilities and their respective tax bases. The effect on deferred tax assets and liabilities of a change in income tax rates is recognized in income in the period that includes the enactment date of applicable laws.</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Deferred tax assets are reduced by a valuation allowance if, based on the weight of available evidence, it is more-likely-than-not that some portion or all of the deferred tax assets will not be realized. The term more-likely-than-not means a likelihood of more than 50 percent. The recognition threshold considers the facts, circumstances, and information available at the reporting date and is subject to the Company’s judgment. In assessing the need for a valuation allowance, the Company considers both positive and negative evidence. For additional information relating to income taxes, see Note 16.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Comprehensive Income</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Comprehensive income consists of net income and OCI. OCI includes unrealized gains and losses, net of tax effect, on available-for-sale securities, including transferred debt securities, and derivatives used for cash flow hedges. When OCI is reclassified into net income (loss), the tax effect is recognized in income tax expense. For additional information relating to OCI, see Note 17.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Earnings Per Share</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by the weighted-average number of shares of common stock outstanding during the period presented. Diluted earnings per share is computed by including the net increase in shares as if dilutive outstanding stock options were exercised and restricted stock units were vested, using the treasury stock method. For additional information relating to earnings per share, see Note 18.</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reclassifications have been made to the 2023 and 2022 financial statements to conform to the 2024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Accounting Guidance Adopted in 2024</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a recently adopted Accounting Standards Updates (“ASU”) that could have a material effect on the Company’s financial position or results of operations.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ASU 2023-02 - Investments Equity Method and Joint Ventures. </w:t>
      </w:r>
      <w:r>
        <w:rPr>
          <w:rFonts w:ascii="Times New Roman" w:cs="Times New Roman" w:eastAsia="Times New Roman" w:hAnsi="Times New Roman"/>
          <w:sz w:val="14"/>
          <w:szCs w:val="14"/>
          <w:color w:val="auto"/>
        </w:rPr>
        <w:t>In March 2023, FASB amended Topic ASC 323 relating to accounting for investments in tax credit structures using the proportional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method. The amendments in this Update allow reporting entities to consistently account for equity investments made primarily for the purpose of receiving income tax credits and other income tax benefits. Previously, the accounting standards limited the proportional amortization method to account for qualifying investment in low-income-housing tax credit structures. The proportional amortization method results in the cost of the investment being amortized in proportion to the income tax credits and other income tax benefits received, with the amortization of the investment and the tax credits being presented net in the income statement as a component of income tax expense (benefit). The amendments in this Update permit an entity to elect to account for their tax equity investments, regardless of the tax credit program from which the income tax credits are received, using the proportional amortization method if certain conditions are met. The amendments are effective for public business entities beginning with the first interim and annual reporting periods after December 15, 2023. The Company adopted the amendments beginning January 1, 2024 for each tax credit program. The Company adjusted its processes and procedures related to the amendments and there was no material impact to the Company’s financial position and results of operations.</w:t>
      </w:r>
    </w:p>
    <w:p>
      <w:pPr>
        <w:spacing w:after="0" w:line="3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ASU 2023-07 - Segment Reporting. </w:t>
      </w:r>
      <w:r>
        <w:rPr>
          <w:rFonts w:ascii="Times New Roman" w:cs="Times New Roman" w:eastAsia="Times New Roman" w:hAnsi="Times New Roman"/>
          <w:sz w:val="14"/>
          <w:szCs w:val="14"/>
          <w:color w:val="auto"/>
        </w:rPr>
        <w:t>In November 2023, FASB amended Topic ASC 280 relating to segment disclosures. The amendments in this Update expands segment disclosure requirements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public entities to require disclosure of significant segment expenses and other segment items on an annual and interim basis and to provide interim periods all disclosures about reportable segment’s profit or loss and assets that are currently required annually. The amendments are effective beginning with the first interim and annual reporting periods after December 15, 2023 and early adoption is permitted. The Company operates as a single segment entity for financial reporting purposes and has adopted the amendments for the year ended December 31, 2024. The Company adjusted the procedures related to the amendments and there was no material impact to the Company’s disclosures or financial position and results of operations. For additional information relating to the adoption of the amendments, see Note 1, under segment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Accounting Guidance Pending Adoption at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provides a description of a recently issued but not yet effective ASU that could have a material effect on the Company’s financial position or results of operations.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ASU 2023-09 - Income Tax Disclosures. </w:t>
      </w:r>
      <w:r>
        <w:rPr>
          <w:rFonts w:ascii="Times New Roman" w:cs="Times New Roman" w:eastAsia="Times New Roman" w:hAnsi="Times New Roman"/>
          <w:sz w:val="14"/>
          <w:szCs w:val="14"/>
          <w:color w:val="auto"/>
        </w:rPr>
        <w:t>In December 2023, FASB amended topic 740 related to certain income tax disclosures (the “Update”). The amendments provide updates related to the 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reconciliation and income taxes paid disclosures to improve transparency of income disclosures by requiring (1) consistent categories and greater disaggregation of information in the rate reconciliation and (2) income taxes paid disaggregated by jurisdiction. Other amendments in the Update improve the effectiveness and comparability of disclosures and remove disclosures that are no longer considered cost beneficial or relevant. The amendments are effective for public business entities beginning with the first annual reporting period after December 15, 2024 with early adoption permitted in any annual period. The amendments in this Update should be applied on a prospective basis and retrospective application is permitted. The Company is currently evaluating the impact of this Update, but does not expect the adoption of this guidance to have a material impact to the financial statements, including related disclosures, or significant impact on its current processes.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6"/>
        </w:trPr>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2. Debt Securities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2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tables present the amortized cost, the gross unrealized gains and losses and the fair value of the Company’s debt securities: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color w:val="auto"/>
              </w:rPr>
              <w:t>December 31, 2024</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Amortized</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Gross Unrealized Gains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Unrealized Losses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4140" w:type="dxa"/>
            <w:vAlign w:val="bottom"/>
            <w:vMerge w:val="restart"/>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gridSpan w:val="2"/>
            <w:vMerge w:val="restart"/>
          </w:tcPr>
          <w:p>
            <w:pPr>
              <w:jc w:val="center"/>
              <w:ind w:right="360"/>
              <w:spacing w:after="0" w:line="159" w:lineRule="exact"/>
              <w:rPr>
                <w:sz w:val="20"/>
                <w:szCs w:val="20"/>
                <w:color w:val="auto"/>
              </w:rPr>
            </w:pPr>
            <w:r>
              <w:rPr>
                <w:rFonts w:ascii="Times New Roman" w:cs="Times New Roman" w:eastAsia="Times New Roman" w:hAnsi="Times New Roman"/>
                <w:sz w:val="14"/>
                <w:szCs w:val="14"/>
                <w:color w:val="auto"/>
              </w:rPr>
              <w:t>Cost</w:t>
            </w: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tcPr>
          <w:p>
            <w:pPr>
              <w:spacing w:after="0"/>
              <w:rPr>
                <w:sz w:val="13"/>
                <w:szCs w:val="13"/>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484,082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468,433</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323,854</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14,818</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2,660,330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(304,819)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2,355,516</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1,101,489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(73,572)</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1,027,919</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available-for-sale</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4,656,310</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(411,332)</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859,432</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804,936</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1,619,850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(209,502)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1,411,158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815,565</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752,476</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4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held-to-maturity</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(327,087)</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2,968,570</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 debt securities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7,951,157</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(738,419)</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7,213,775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color w:val="auto"/>
              </w:rPr>
              <w:t>December 31, 2023</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Amortized</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Gross Unrealized Gains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Unrealized Losses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5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3"/>
                <w:szCs w:val="13"/>
                <w:color w:val="auto"/>
              </w:rPr>
              <w:t>Cost</w:t>
            </w: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tcPr>
          <w:p>
            <w:pPr>
              <w:spacing w:after="0"/>
              <w:rPr>
                <w:sz w:val="13"/>
                <w:szCs w:val="13"/>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485,005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455,347</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321,993</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299,219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101,903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98,932</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3,166,589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(355,333)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2,811,263</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1,180,756</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(86,570)</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1,094,705</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available-for-sale</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5,283,253</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(498,375)</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4,785,719</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853,273</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787,801</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(181,192)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1,471,651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999,138</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920,742</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4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held-to-maturity</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3,502,411</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(325,060)</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3,180,194</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 debt securities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8,785,664</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(823,435)</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7,965,913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auto"/>
        </w:rPr>
        <w:t>Maturity Analysis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following table presents the amortized cost and fair value of available-for-sale and held-to-maturity debt securities by contractual maturity at December 31, 2024. Actual maturities may differ from expected or contractual maturities since some issuers have the right to prepay obligations with or without prepayment penalties.</w:t>
      </w: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color w:val="auto"/>
              </w:rPr>
              <w:t>December 31, 2024</w:t>
            </w:r>
          </w:p>
        </w:tc>
        <w:tc>
          <w:tcPr>
            <w:tcW w:w="146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4"/>
          </w:tcPr>
          <w:p>
            <w:pPr>
              <w:ind w:left="800"/>
              <w:spacing w:after="0"/>
              <w:rPr>
                <w:sz w:val="20"/>
                <w:szCs w:val="20"/>
                <w:color w:val="auto"/>
              </w:rPr>
            </w:pPr>
            <w:r>
              <w:rPr>
                <w:rFonts w:ascii="Times New Roman" w:cs="Times New Roman" w:eastAsia="Times New Roman" w:hAnsi="Times New Roman"/>
                <w:sz w:val="14"/>
                <w:szCs w:val="14"/>
                <w:color w:val="auto"/>
              </w:rPr>
              <w:t>Available-for-Sale</w:t>
            </w:r>
          </w:p>
        </w:tc>
        <w:tc>
          <w:tcPr>
            <w:tcW w:w="3020" w:type="dxa"/>
            <w:vAlign w:val="bottom"/>
            <w:gridSpan w:val="3"/>
          </w:tcPr>
          <w:p>
            <w:pPr>
              <w:jc w:val="right"/>
              <w:ind w:right="950"/>
              <w:spacing w:after="0"/>
              <w:rPr>
                <w:sz w:val="20"/>
                <w:szCs w:val="20"/>
                <w:color w:val="auto"/>
              </w:rPr>
            </w:pPr>
            <w:r>
              <w:rPr>
                <w:rFonts w:ascii="Times New Roman" w:cs="Times New Roman" w:eastAsia="Times New Roman" w:hAnsi="Times New Roman"/>
                <w:sz w:val="14"/>
                <w:szCs w:val="14"/>
                <w:color w:val="auto"/>
              </w:rPr>
              <w:t>Held-to-Maturity</w:t>
            </w:r>
          </w:p>
        </w:tc>
      </w:tr>
      <w:tr>
        <w:trPr>
          <w:trHeight w:val="129"/>
        </w:trPr>
        <w:tc>
          <w:tcPr>
            <w:tcW w:w="5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Amortized Cost</w:t>
            </w:r>
          </w:p>
        </w:tc>
        <w:tc>
          <w:tcPr>
            <w:tcW w:w="1460" w:type="dxa"/>
            <w:vAlign w:val="bottom"/>
            <w:tcBorders>
              <w:top w:val="single" w:sz="8" w:color="auto"/>
            </w:tcBorders>
          </w:tcPr>
          <w:p>
            <w:pPr>
              <w:jc w:val="right"/>
              <w:ind w:right="370"/>
              <w:spacing w:after="0" w:line="118" w:lineRule="exact"/>
              <w:rPr>
                <w:sz w:val="20"/>
                <w:szCs w:val="20"/>
                <w:color w:val="auto"/>
              </w:rPr>
            </w:pPr>
            <w:r>
              <w:rPr>
                <w:rFonts w:ascii="Times New Roman" w:cs="Times New Roman" w:eastAsia="Times New Roman" w:hAnsi="Times New Roman"/>
                <w:sz w:val="13"/>
                <w:szCs w:val="13"/>
                <w:color w:val="auto"/>
              </w:rPr>
              <w:t>Fair Value</w:t>
            </w:r>
          </w:p>
        </w:tc>
        <w:tc>
          <w:tcPr>
            <w:tcW w:w="80" w:type="dxa"/>
            <w:vAlign w:val="bottom"/>
          </w:tcPr>
          <w:p>
            <w:pPr>
              <w:spacing w:after="0"/>
              <w:rPr>
                <w:sz w:val="11"/>
                <w:szCs w:val="11"/>
                <w:color w:val="auto"/>
              </w:rPr>
            </w:pPr>
          </w:p>
        </w:tc>
        <w:tc>
          <w:tcPr>
            <w:tcW w:w="1560" w:type="dxa"/>
            <w:vAlign w:val="bottom"/>
            <w:tcBorders>
              <w:top w:val="single" w:sz="8" w:color="auto"/>
            </w:tcBorders>
            <w:gridSpan w:val="2"/>
          </w:tcPr>
          <w:p>
            <w:pPr>
              <w:ind w:left="280"/>
              <w:spacing w:after="0" w:line="118" w:lineRule="exact"/>
              <w:rPr>
                <w:sz w:val="20"/>
                <w:szCs w:val="20"/>
                <w:color w:val="auto"/>
              </w:rPr>
            </w:pPr>
            <w:r>
              <w:rPr>
                <w:rFonts w:ascii="Times New Roman" w:cs="Times New Roman" w:eastAsia="Times New Roman" w:hAnsi="Times New Roman"/>
                <w:sz w:val="13"/>
                <w:szCs w:val="13"/>
                <w:color w:val="auto"/>
              </w:rPr>
              <w:t>Amortized Cost</w:t>
            </w:r>
          </w:p>
        </w:tc>
        <w:tc>
          <w:tcPr>
            <w:tcW w:w="1460" w:type="dxa"/>
            <w:vAlign w:val="bottom"/>
            <w:tcBorders>
              <w:top w:val="single" w:sz="8" w:color="auto"/>
            </w:tcBorders>
          </w:tcPr>
          <w:p>
            <w:pPr>
              <w:jc w:val="right"/>
              <w:ind w:right="370"/>
              <w:spacing w:after="0" w:line="118" w:lineRule="exact"/>
              <w:rPr>
                <w:sz w:val="20"/>
                <w:szCs w:val="20"/>
                <w:color w:val="auto"/>
              </w:rPr>
            </w:pPr>
            <w:r>
              <w:rPr>
                <w:rFonts w:ascii="Times New Roman" w:cs="Times New Roman" w:eastAsia="Times New Roman" w:hAnsi="Times New Roman"/>
                <w:sz w:val="13"/>
                <w:szCs w:val="13"/>
                <w:color w:val="auto"/>
              </w:rPr>
              <w:t>Fair 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321,716</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313,311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9,566</w:t>
            </w:r>
          </w:p>
        </w:tc>
      </w:tr>
      <w:tr>
        <w:trPr>
          <w:trHeight w:val="18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519,869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498,840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941,501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885,563</w:t>
            </w:r>
          </w:p>
        </w:tc>
      </w:tr>
      <w:tr>
        <w:trPr>
          <w:trHeight w:val="18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209,288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198,057</w:t>
            </w:r>
          </w:p>
        </w:tc>
      </w:tr>
      <w:tr>
        <w:trPr>
          <w:trHeight w:val="180"/>
        </w:trPr>
        <w:tc>
          <w:tcPr>
            <w:tcW w:w="5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29,430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1,318,909</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1,122,908</w:t>
            </w:r>
          </w:p>
        </w:tc>
      </w:tr>
      <w:tr>
        <w:trPr>
          <w:trHeight w:val="171"/>
        </w:trPr>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894,491</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861,770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2,479,282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2,216,094</w:t>
            </w:r>
          </w:p>
        </w:tc>
      </w:tr>
      <w:tr>
        <w:trPr>
          <w:trHeight w:val="180"/>
        </w:trPr>
        <w:tc>
          <w:tcPr>
            <w:tcW w:w="5160" w:type="dxa"/>
            <w:vAlign w:val="bottom"/>
            <w:tcBorders>
              <w:bottom w:val="single" w:sz="8" w:color="CCEEFF"/>
            </w:tcBorders>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Mortgage-backed securities </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3,761,819</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3,383,435</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815,565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752,476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4,656,310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4,245,205</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4" w:lineRule="exact"/>
        <w:rPr>
          <w:sz w:val="20"/>
          <w:szCs w:val="20"/>
          <w:color w:val="auto"/>
        </w:rPr>
      </w:pPr>
    </w:p>
    <w:p>
      <w:pPr>
        <w:ind w:left="80" w:hanging="75"/>
        <w:spacing w:after="0"/>
        <w:tabs>
          <w:tab w:leader="none" w:pos="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Mortgage-backed securities, which have prepayment provisions, are not assigned to maturity categories due to fluctuations in their prepayment speeds.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Sales and Calls of Debt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sales and calls of debt securities and the associated gains and losses that have been included in earnings in gain (loss) on sale of securities are listed below:</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Years ended</w:t>
            </w:r>
          </w:p>
        </w:tc>
        <w:tc>
          <w:tcPr>
            <w:tcW w:w="14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Proceeds from sales and calls of debt securities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251,295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428,225</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Gross realized gains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Gross realized losses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18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Held-to-maturity</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Proceeds from calls of debt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28,210</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4"/>
                <w:szCs w:val="14"/>
                <w:color w:val="auto"/>
              </w:rPr>
              <w:t xml:space="preserve">Gross realized gains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43"/>
        </w:trPr>
        <w:tc>
          <w:tcPr>
            <w:tcW w:w="20" w:type="dxa"/>
            <w:vAlign w:val="bottom"/>
          </w:tcPr>
          <w:p>
            <w:pPr>
              <w:spacing w:after="0"/>
              <w:rPr>
                <w:sz w:val="21"/>
                <w:szCs w:val="21"/>
                <w:color w:val="auto"/>
              </w:rPr>
            </w:pPr>
          </w:p>
        </w:tc>
        <w:tc>
          <w:tcPr>
            <w:tcW w:w="6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xml:space="preserve">Gross realized losses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r>
    </w:tbl>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1" w:lineRule="exact"/>
        <w:rPr>
          <w:sz w:val="20"/>
          <w:szCs w:val="20"/>
          <w:color w:val="auto"/>
        </w:rPr>
      </w:pPr>
    </w:p>
    <w:p>
      <w:pPr>
        <w:ind w:left="80" w:hanging="75"/>
        <w:spacing w:after="0"/>
        <w:tabs>
          <w:tab w:leader="none" w:pos="8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 gain or loss on the sale or call of each debt security is determined by the specific identification method.</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2023, the Company also had a gain of $1,700,000 on the sale of all of the Company’s Visa class B shares which was included in the gain on sale of securities. At December 31, 2024 and 2023, the Company had debt securities with carrying values of $4,254,268,000 and $6,479,495,000, respectively, pledged as collateral to FHLB, FRB, securities sold under agreements to repurchase (“repurchase agreements”), and for deposits of several state and local government units.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Available-For-Sale Debt Securities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assessing whether a credit loss existed on available-for-sale debt securities with unrealized losses, the Company compared the present value of cash flows expected to be collected from the debt securities with the amortized cost basis of the debt securities. In addition, the following factors were evaluated individually and collectively in determining the existence of expected credit losses:</w:t>
      </w:r>
    </w:p>
    <w:p>
      <w:pPr>
        <w:spacing w:after="0" w:line="53"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ratings from Nationally Recognized Statistical Rating Organizations (“NRSRO” entities such as Standard and Poor’s [“S&amp;P”] and Moody’s);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extent to which the fair value is less than cost;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conditions, if any, specifically related to the impaired securities, including the industry and geographic area;</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deal and payment structure of the debt securities, including the investor entity’s position within the structure, underlying obligors, financial condition and near-term prospects of the issuer, including specific events which may affect the issuer’s operations or future earnings, and credit support or enhancements; and</w:t>
      </w: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the issuer and underlying obligors, if any, to make scheduled payments of interest and principal.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2" w:name="page83"/>
    <w:bookmarkEnd w:id="82"/>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summarizes available-for-sale debt securities that were in an unrealized loss position for which an ACL has not been recorded, based on the length of time the individual securities have been in an unrealized loss position. The number of available-for-sale debt securities in an unrealized position is also disclosed.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December 31, 2024</w:t>
            </w: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Number</w:t>
            </w: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color w:val="auto"/>
              </w:rPr>
              <w:t>Less than 12 Months</w:t>
            </w:r>
          </w:p>
        </w:tc>
        <w:tc>
          <w:tcPr>
            <w:tcW w:w="10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489"/>
              <w:spacing w:after="0"/>
              <w:rPr>
                <w:sz w:val="20"/>
                <w:szCs w:val="20"/>
                <w:color w:val="auto"/>
              </w:rPr>
            </w:pPr>
            <w:r>
              <w:rPr>
                <w:rFonts w:ascii="Times New Roman" w:cs="Times New Roman" w:eastAsia="Times New Roman" w:hAnsi="Times New Roman"/>
                <w:sz w:val="14"/>
                <w:szCs w:val="14"/>
                <w:color w:val="auto"/>
              </w:rPr>
              <w:t>12 Months or More</w:t>
            </w:r>
          </w:p>
        </w:tc>
        <w:tc>
          <w:tcPr>
            <w:tcW w:w="80" w:type="dxa"/>
            <w:vAlign w:val="bottom"/>
          </w:tcPr>
          <w:p>
            <w:pPr>
              <w:spacing w:after="0"/>
              <w:rPr>
                <w:sz w:val="14"/>
                <w:szCs w:val="14"/>
                <w:color w:val="auto"/>
              </w:rPr>
            </w:pPr>
          </w:p>
        </w:tc>
        <w:tc>
          <w:tcPr>
            <w:tcW w:w="13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of</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11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30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90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4"/>
                <w:szCs w:val="14"/>
                <w:color w:val="auto"/>
              </w:rPr>
              <w:t>Unrealized</w:t>
            </w:r>
          </w:p>
        </w:tc>
      </w:tr>
      <w:tr>
        <w:trPr>
          <w:trHeight w:val="149"/>
        </w:trPr>
        <w:tc>
          <w:tcPr>
            <w:tcW w:w="2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Pr>
          <w:p>
            <w:pPr>
              <w:spacing w:after="0"/>
              <w:rPr>
                <w:sz w:val="12"/>
                <w:szCs w:val="12"/>
                <w:color w:val="auto"/>
              </w:rPr>
            </w:pPr>
          </w:p>
        </w:tc>
        <w:tc>
          <w:tcPr>
            <w:tcW w:w="9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w w:val="95"/>
              </w:rPr>
              <w:t>Value</w:t>
            </w: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Loss</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5"/>
              </w:rPr>
              <w:t>Value</w:t>
            </w:r>
          </w:p>
        </w:tc>
        <w:tc>
          <w:tcPr>
            <w:tcW w:w="11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8"/>
              </w:rPr>
              <w:t>Loss</w:t>
            </w:r>
          </w:p>
        </w:tc>
        <w:tc>
          <w:tcPr>
            <w:tcW w:w="130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color w:val="auto"/>
                <w:w w:val="95"/>
              </w:rPr>
              <w:t>Value</w:t>
            </w:r>
          </w:p>
        </w:tc>
        <w:tc>
          <w:tcPr>
            <w:tcW w:w="90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463,151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(15,654)</w:t>
            </w:r>
          </w:p>
        </w:tc>
      </w:tr>
      <w:tr>
        <w:trPr>
          <w:trHeight w:val="180"/>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49,748</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r>
      <w:tr>
        <w:trPr>
          <w:trHeight w:val="180"/>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2,341,700</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(304,579)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2,355,235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(304,819)</w:t>
            </w:r>
          </w:p>
        </w:tc>
      </w:tr>
      <w:tr>
        <w:trPr>
          <w:trHeight w:val="180"/>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986,809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1,023,275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(73,572)</w:t>
            </w:r>
          </w:p>
        </w:tc>
      </w:tr>
      <w:tr>
        <w:trPr>
          <w:trHeight w:val="171"/>
        </w:trPr>
        <w:tc>
          <w:tcPr>
            <w:tcW w:w="20" w:type="dxa"/>
            <w:vAlign w:val="bottom"/>
          </w:tcPr>
          <w:p>
            <w:pPr>
              <w:spacing w:after="0"/>
              <w:rPr>
                <w:sz w:val="14"/>
                <w:szCs w:val="14"/>
                <w:color w:val="auto"/>
              </w:rPr>
            </w:pPr>
          </w:p>
        </w:tc>
        <w:tc>
          <w:tcPr>
            <w:tcW w:w="33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Total available-for-sale</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57,410</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4,165,269</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(409,981)</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4,222,679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(411,332)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December 31, 2023</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Number</w:t>
            </w: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color w:val="auto"/>
              </w:rPr>
              <w:t>Less than 12 Months</w:t>
            </w:r>
          </w:p>
        </w:tc>
        <w:tc>
          <w:tcPr>
            <w:tcW w:w="10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489"/>
              <w:spacing w:after="0"/>
              <w:rPr>
                <w:sz w:val="20"/>
                <w:szCs w:val="20"/>
                <w:color w:val="auto"/>
              </w:rPr>
            </w:pPr>
            <w:r>
              <w:rPr>
                <w:rFonts w:ascii="Times New Roman" w:cs="Times New Roman" w:eastAsia="Times New Roman" w:hAnsi="Times New Roman"/>
                <w:sz w:val="14"/>
                <w:szCs w:val="14"/>
                <w:color w:val="auto"/>
              </w:rPr>
              <w:t>12 Months or More</w:t>
            </w:r>
          </w:p>
        </w:tc>
        <w:tc>
          <w:tcPr>
            <w:tcW w:w="80" w:type="dxa"/>
            <w:vAlign w:val="bottom"/>
          </w:tcPr>
          <w:p>
            <w:pPr>
              <w:spacing w:after="0"/>
              <w:rPr>
                <w:sz w:val="14"/>
                <w:szCs w:val="14"/>
                <w:color w:val="auto"/>
              </w:rPr>
            </w:pPr>
          </w:p>
        </w:tc>
        <w:tc>
          <w:tcPr>
            <w:tcW w:w="13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of</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11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130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7"/>
              </w:rPr>
              <w:t>Fair</w:t>
            </w:r>
          </w:p>
        </w:tc>
        <w:tc>
          <w:tcPr>
            <w:tcW w:w="90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4"/>
                <w:szCs w:val="14"/>
                <w:color w:val="auto"/>
              </w:rPr>
              <w:t>Unrealized</w:t>
            </w:r>
          </w:p>
        </w:tc>
      </w:tr>
      <w:tr>
        <w:trPr>
          <w:trHeight w:val="149"/>
        </w:trPr>
        <w:tc>
          <w:tcPr>
            <w:tcW w:w="2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Loss</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Loss</w:t>
            </w:r>
          </w:p>
        </w:tc>
        <w:tc>
          <w:tcPr>
            <w:tcW w:w="13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5"/>
              </w:rPr>
              <w:t>Value</w:t>
            </w:r>
          </w:p>
        </w:tc>
        <w:tc>
          <w:tcPr>
            <w:tcW w:w="90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448,909</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(29,613)</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(29,669)</w:t>
            </w:r>
          </w:p>
        </w:tc>
      </w:tr>
      <w:tr>
        <w:trPr>
          <w:trHeight w:val="180"/>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299,220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(22,774)</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64,645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r>
      <w:tr>
        <w:trPr>
          <w:trHeight w:val="180"/>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2,809,482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(355,289)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2,810,912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(355,333)</w:t>
            </w:r>
          </w:p>
        </w:tc>
      </w:tr>
      <w:tr>
        <w:trPr>
          <w:trHeight w:val="180"/>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1,034,183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(86,302)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(86,570)</w:t>
            </w:r>
          </w:p>
        </w:tc>
      </w:tr>
      <w:tr>
        <w:trPr>
          <w:trHeight w:val="171"/>
        </w:trPr>
        <w:tc>
          <w:tcPr>
            <w:tcW w:w="20" w:type="dxa"/>
            <w:vAlign w:val="bottom"/>
          </w:tcPr>
          <w:p>
            <w:pPr>
              <w:spacing w:after="0"/>
              <w:rPr>
                <w:sz w:val="14"/>
                <w:szCs w:val="14"/>
                <w:color w:val="auto"/>
              </w:rPr>
            </w:pPr>
          </w:p>
        </w:tc>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available-for-sale</w:t>
            </w:r>
          </w:p>
        </w:tc>
        <w:tc>
          <w:tcPr>
            <w:tcW w:w="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29,403</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4,679,701</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(498,005)</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4,709,104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(498,375)</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respect to severity, the majority of available-for-sale debt securities with unrealized loss positions at December 31, 2024 were issued by Federal National Mortgage Association (“Fannie Mae”), Federal Home Loan Mortgage Corporation (“Freddie Mac”), Government National Mortgage Association (“Ginnie Mae”) and other agencies of the U.S. government or have credit ratings issued by one or more of the NRSRO entities in the four highest credit rating categories. All of the Company’s available-for-sale debt securities with unrealized loss positions at December 31, 2024 have been determined to be investment grade.</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did not have any past due available-for-sale debt securities as of December 31, 2024 and December 31, 2023, respectively. Accrued interest receivable on available-for-sale debt securities totaled $8,037,000 and $9,319,000 at December 31, 2024 and December 31, 2023, respectively, and was excluded from the estimate of credit losses.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Based on an analysis of its available-for-sale debt securities with unrealized losses as of December 31, 2024,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December 31, 2024, management determined it did not intend to sell available-for-sale debt securities with unrealized losses, and there was no expected requirement to sell such securities before recovery of their amortized cost. As a result, no ACL was recorded on available-for-sale debt securities at December 31, 2024.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Held-To-Maturity Debt Securities</w:t>
      </w:r>
    </w:p>
    <w:p>
      <w:pPr>
        <w:spacing w:after="0" w:line="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measured expected credit losses on held-to-maturity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held-to-maturity municipal bonds aggregated by NRSRO credit rating:</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60"/>
              <w:spacing w:after="0" w:line="143"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tcPr>
          <w:p>
            <w:pPr>
              <w:jc w:val="right"/>
              <w:ind w:right="309"/>
              <w:spacing w:after="0" w:line="143"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 bonds held-to-maturity</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S&amp;P: AAA / Moody’s: Aaa</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414,147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427,918</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S&amp;P: AA+, AA, AA- / Moody’s: Aa1, Aa2, Aa3</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1,168,491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1,182,894</w:t>
            </w:r>
          </w:p>
        </w:tc>
      </w:tr>
      <w:tr>
        <w:trPr>
          <w:trHeight w:val="180"/>
        </w:trPr>
        <w:tc>
          <w:tcPr>
            <w:tcW w:w="20" w:type="dxa"/>
            <w:vAlign w:val="bottom"/>
          </w:tcPr>
          <w:p>
            <w:pPr>
              <w:spacing w:after="0"/>
              <w:rPr>
                <w:sz w:val="15"/>
                <w:szCs w:val="15"/>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S&amp;P: A+, A, A- / Moody’s: A1, A2, A3</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37,742</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 rated by either entity</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municipal bonds held-to-maturity</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1,619,850</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1,650,000</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Company’s municipal bonds in the held-to-maturity debt securities portfolio is primarily comprised of general obligation and revenue bonds with NRSRO ratings in the four highest credit rating categories. All of the Company’s municipal bonds that are classified as held-to-maturity debt securities at December 31, 2024 have been determined to be investment grade. Held-to-maturity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 w:cs="Arial" w:eastAsia="Arial" w:hAnsi="Arial"/>
          <w:sz w:val="14"/>
          <w:szCs w:val="14"/>
          <w:color w:val="auto"/>
        </w:rPr>
        <w: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and December 31, 2023, the Company did not have any held-to-maturity debt securities past due. Accrued interest receivable on held-to-maturity debt securities totaled $16,538,000 and $16,990,000 at December 31, 2024 and December 31, 2023, respectively, and were excluded from the estimate of credit losses.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Based on the Company’s evaluation, an insignificant amount of credit losses is expected on the held-to-maturity debt securities portfolio; therefore, no ACL was recorded at December 31, 2024 or December 31, 2023.</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3. Loans Receivable, Net</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presents loans receivable for each portfolio segment of loans: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1,704,544</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10,303,306</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2,901,863</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888,013</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388,678</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400,356</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Loans receivable</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16,198,082</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(192,757)</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Loans receivable, net</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16,005,325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origination (fees) costs included in loans receivable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(29,187)</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(25,577)</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purchase accounting (discounts) premiums included in loans receivable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(13,802)</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 receivable on loans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73,935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67,362</w:t>
            </w: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Substantially all of the Company’s loans receivable are with borrowers in the Company’s geographic market areas. Although the Company has a diversified loan portfolio, a substantial portion of borrowers’ ability to service their obligations is dependent upon the economic performance in the Company’s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no significant purchases or sales of portfolio loans or reclassification of loans held for investment to loans held for sale during 2024 and 2023.</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the Company had loans of $11,827,421,000 pledged as collateral for FHLB advances and FRB discount window. The Company is subject to regulatory limits for the amount of loans to any individual borrower and the Company is in compliance with this regulation as of December 31, 2024 and 2023. No borrower had outstanding loans or commitments exceeding 10 percent of the Company’s consolidated stockholders’ equity as of December 31, 2024.</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entered into transactions with its executive officers and directors and their affiliates. The aggregate amount of loans outstanding to such related parties at December 31, 2024 and 2023 was $110,150,000 and $110,707,000, respectively. During 2024, transactions included new loans to such related parties of $15,140,000, and repayments of $15,697,000. In management’s opinion, such loans were made in the ordinary course of business and were made on substantially the same terms as those prevailing at the time for comparable transaction with other persons.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auto"/>
        </w:rPr>
        <w:t>Allowance for Credit Losses - Loans Receivable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ACL is a valuation account that is deducted from the amortized cost basis to present the net amount expected to be collected on loans. The following tables summarize the activity in the ACL:</w:t>
      </w:r>
    </w:p>
    <w:p>
      <w:pPr>
        <w:spacing w:after="0" w:line="2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4"/>
          <w:szCs w:val="14"/>
          <w:color w:val="auto"/>
        </w:rPr>
        <w:t>Year ended 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Residential Real</w:t>
            </w:r>
          </w:p>
        </w:tc>
        <w:tc>
          <w:tcPr>
            <w:tcW w:w="12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 Real</w:t>
            </w: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Estate</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Estate</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Other Commercial</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Home Equity</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 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192,757</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130,924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(9,781)</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r>
      <w:tr>
        <w:trPr>
          <w:trHeight w:val="171"/>
        </w:trPr>
        <w:tc>
          <w:tcPr>
            <w:tcW w:w="20" w:type="dxa"/>
            <w:vAlign w:val="bottom"/>
          </w:tcPr>
          <w:p>
            <w:pPr>
              <w:spacing w:after="0"/>
              <w:rPr>
                <w:sz w:val="14"/>
                <w:szCs w:val="14"/>
                <w:color w:val="auto"/>
              </w:rPr>
            </w:pPr>
          </w:p>
        </w:tc>
        <w:tc>
          <w:tcPr>
            <w:tcW w:w="37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25,181</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138,545</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24,400</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Home</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182,283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125,816</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21,454</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6,748</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Charge-offs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(8,975)</w:t>
            </w:r>
          </w:p>
        </w:tc>
      </w:tr>
      <w:tr>
        <w:trPr>
          <w:trHeight w:val="180"/>
        </w:trPr>
        <w:tc>
          <w:tcPr>
            <w:tcW w:w="2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Recoveries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Balance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192,757</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22,325</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130,924</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Residential</w:t>
            </w:r>
          </w:p>
        </w:tc>
        <w:tc>
          <w:tcPr>
            <w:tcW w:w="12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12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w w:val="99"/>
              </w:rPr>
              <w:t>Home</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Other</w:t>
            </w:r>
          </w:p>
        </w:tc>
      </w:tr>
      <w:tr>
        <w:trPr>
          <w:trHeight w:val="142"/>
        </w:trPr>
        <w:tc>
          <w:tcPr>
            <w:tcW w:w="20" w:type="dxa"/>
            <w:vAlign w:val="bottom"/>
          </w:tcPr>
          <w:p>
            <w:pPr>
              <w:spacing w:after="0"/>
              <w:rPr>
                <w:sz w:val="12"/>
                <w:szCs w:val="12"/>
                <w:color w:val="auto"/>
              </w:rPr>
            </w:pPr>
          </w:p>
        </w:tc>
        <w:tc>
          <w:tcPr>
            <w:tcW w:w="37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12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Real Estate</w:t>
            </w:r>
          </w:p>
        </w:tc>
        <w:tc>
          <w:tcPr>
            <w:tcW w:w="12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Real Estate</w:t>
            </w:r>
          </w:p>
        </w:tc>
        <w:tc>
          <w:tcPr>
            <w:tcW w:w="12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Commercial</w:t>
            </w:r>
          </w:p>
        </w:tc>
        <w:tc>
          <w:tcPr>
            <w:tcW w:w="12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rPr>
              <w:t>Equity</w:t>
            </w:r>
          </w:p>
        </w:tc>
        <w:tc>
          <w:tcPr>
            <w:tcW w:w="11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172,665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117,901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5,801</w:t>
            </w:r>
          </w:p>
        </w:tc>
      </w:tr>
      <w:tr>
        <w:trPr>
          <w:trHeight w:val="180"/>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Charge-offs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w:t>
            </w:r>
          </w:p>
        </w:tc>
      </w:tr>
      <w:tr>
        <w:trPr>
          <w:trHeight w:val="180"/>
        </w:trPr>
        <w:tc>
          <w:tcPr>
            <w:tcW w:w="2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Recoveries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Balance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182,283</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125,816</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21,454</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ACL increased primarily due to the $8,072,000 provision for credit losses recorded as a result of the Wheatland and RMB acquisitions. During the years ended December 31, 2023, and 2022, the ACL increased primarily as a result of loan portfolio growth.</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sizeable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 During the year ended December 31, 2024, there have been no significant changes to the types of collateral securing collateral-dependent loans.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auto"/>
        </w:rPr>
        <w:t>Aging Analysis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an aging analysis of the recorded investment in loans: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color w:val="auto"/>
              </w:rPr>
              <w:t>December 31, 2024</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260" w:type="dxa"/>
            <w:vAlign w:val="bottom"/>
            <w:gridSpan w:val="2"/>
          </w:tcPr>
          <w:p>
            <w:pPr>
              <w:ind w:left="42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6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6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30-59 days past due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25,347</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Accruing loans 60-89 days past due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r>
      <w:tr>
        <w:trPr>
          <w:trHeight w:val="180"/>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90 days or more past due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Non-accrual loans with no ACL</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8,012</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0"/>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 with ACL</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18"/>
        </w:trPr>
        <w:tc>
          <w:tcPr>
            <w:tcW w:w="20" w:type="dxa"/>
            <w:vAlign w:val="bottom"/>
          </w:tcPr>
          <w:p>
            <w:pPr>
              <w:spacing w:after="0"/>
              <w:rPr>
                <w:sz w:val="10"/>
                <w:szCs w:val="10"/>
                <w:color w:val="auto"/>
              </w:rPr>
            </w:pPr>
          </w:p>
        </w:tc>
        <w:tc>
          <w:tcPr>
            <w:tcW w:w="374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color w:val="auto"/>
              </w:rPr>
              <w:t>Total past due and</w:t>
            </w: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r>
      <w:tr>
        <w:trPr>
          <w:trHeight w:val="191"/>
        </w:trPr>
        <w:tc>
          <w:tcPr>
            <w:tcW w:w="20" w:type="dxa"/>
            <w:vAlign w:val="bottom"/>
          </w:tcPr>
          <w:p>
            <w:pPr>
              <w:spacing w:after="0"/>
              <w:rPr>
                <w:sz w:val="16"/>
                <w:szCs w:val="16"/>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non-accrual loans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22,555</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10,284</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7,136</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w:t>
            </w: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loans receivable</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17,202,999</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1,844,896</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10,941,158</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3,109,251</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923,858</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383,836</w:t>
            </w:r>
          </w:p>
        </w:tc>
      </w:tr>
      <w:tr>
        <w:trPr>
          <w:trHeight w:val="171"/>
        </w:trPr>
        <w:tc>
          <w:tcPr>
            <w:tcW w:w="20" w:type="dxa"/>
            <w:vAlign w:val="bottom"/>
          </w:tcPr>
          <w:p>
            <w:pPr>
              <w:spacing w:after="0"/>
              <w:rPr>
                <w:sz w:val="14"/>
                <w:szCs w:val="14"/>
                <w:color w:val="auto"/>
              </w:rPr>
            </w:pPr>
          </w:p>
        </w:tc>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17,261,849</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388,678</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color w:val="auto"/>
              </w:rPr>
              <w:t>December 31, 2023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260" w:type="dxa"/>
            <w:vAlign w:val="bottom"/>
            <w:gridSpan w:val="2"/>
          </w:tcPr>
          <w:p>
            <w:pPr>
              <w:ind w:left="42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6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6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30-59 days past due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Accruing loans 60-89 days past due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180"/>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Accruing loans 90 days or more past due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Non-accrual loans with no ACL</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180"/>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 with ACL</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20" w:type="dxa"/>
            <w:vAlign w:val="bottom"/>
          </w:tcPr>
          <w:p>
            <w:pPr>
              <w:spacing w:after="0"/>
              <w:rPr>
                <w:sz w:val="14"/>
                <w:szCs w:val="14"/>
                <w:color w:val="auto"/>
              </w:rPr>
            </w:pPr>
          </w:p>
        </w:tc>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past due and non-accrual loans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74,095</w:t>
            </w:r>
          </w:p>
        </w:tc>
        <w:tc>
          <w:tcPr>
            <w:tcW w:w="10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8,740</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36,414</w:t>
            </w:r>
          </w:p>
        </w:tc>
        <w:tc>
          <w:tcPr>
            <w:tcW w:w="8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15,925</w:t>
            </w:r>
          </w:p>
        </w:tc>
        <w:tc>
          <w:tcPr>
            <w:tcW w:w="10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10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6,234</w:t>
            </w:r>
          </w:p>
        </w:tc>
      </w:tr>
      <w:tr>
        <w:trPr>
          <w:trHeight w:val="180"/>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loans receivable</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16,123,987</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1,695,804</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10,266,892</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2,885,938</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881,231</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394,122</w:t>
            </w:r>
          </w:p>
        </w:tc>
      </w:tr>
      <w:tr>
        <w:trPr>
          <w:trHeight w:val="171"/>
        </w:trPr>
        <w:tc>
          <w:tcPr>
            <w:tcW w:w="20" w:type="dxa"/>
            <w:vAlign w:val="bottom"/>
          </w:tcPr>
          <w:p>
            <w:pPr>
              <w:spacing w:after="0"/>
              <w:rPr>
                <w:sz w:val="14"/>
                <w:szCs w:val="14"/>
                <w:color w:val="auto"/>
              </w:rPr>
            </w:pPr>
          </w:p>
        </w:tc>
        <w:tc>
          <w:tcPr>
            <w:tcW w:w="3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16,198,082</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1,704,544</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10,303,306</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2,901,863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888,013</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400,356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had $351,000, $356,000, and $1,175,000 of interest reversed on non-accrual loans during the year ended December 31, 2024, December 31, 2023, and December 31, 2022, respectively.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Collateral-Dependent Loans</w:t>
      </w:r>
    </w:p>
    <w:p>
      <w:pPr>
        <w:spacing w:after="0" w:line="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2024, there were no significant changes to collateral which secures the collateral-dependent loans, whether due to general deterioration or other reasons. The following tables present the amortized cost basis of collateral-dependent loans by collateral type: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color w:val="auto"/>
              </w:rPr>
              <w:t>December 31, 2024</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260" w:type="dxa"/>
            <w:vAlign w:val="bottom"/>
            <w:gridSpan w:val="2"/>
          </w:tcPr>
          <w:p>
            <w:pPr>
              <w:ind w:left="42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180" w:type="dxa"/>
            <w:vAlign w:val="bottom"/>
          </w:tcPr>
          <w:p>
            <w:pPr>
              <w:jc w:val="right"/>
              <w:ind w:right="349"/>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8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6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18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assets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72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color w:val="auto"/>
              </w:rPr>
              <w:t>December 31, 2023</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260" w:type="dxa"/>
            <w:vAlign w:val="bottom"/>
            <w:gridSpan w:val="2"/>
          </w:tcPr>
          <w:p>
            <w:pPr>
              <w:ind w:left="420"/>
              <w:spacing w:after="0" w:line="129" w:lineRule="exact"/>
              <w:rPr>
                <w:sz w:val="20"/>
                <w:szCs w:val="20"/>
                <w:color w:val="auto"/>
              </w:rPr>
            </w:pPr>
            <w:r>
              <w:rPr>
                <w:rFonts w:ascii="Times New Roman" w:cs="Times New Roman" w:eastAsia="Times New Roman" w:hAnsi="Times New Roman"/>
                <w:sz w:val="14"/>
                <w:szCs w:val="14"/>
                <w:color w:val="auto"/>
              </w:rPr>
              <w:t>Home</w:t>
            </w:r>
          </w:p>
        </w:tc>
        <w:tc>
          <w:tcPr>
            <w:tcW w:w="1180" w:type="dxa"/>
            <w:vAlign w:val="bottom"/>
          </w:tcPr>
          <w:p>
            <w:pPr>
              <w:jc w:val="right"/>
              <w:ind w:right="349"/>
              <w:spacing w:after="0" w:line="129" w:lineRule="exact"/>
              <w:rPr>
                <w:sz w:val="20"/>
                <w:szCs w:val="20"/>
                <w:color w:val="auto"/>
              </w:rPr>
            </w:pPr>
            <w:r>
              <w:rPr>
                <w:rFonts w:ascii="Times New Roman" w:cs="Times New Roman" w:eastAsia="Times New Roman" w:hAnsi="Times New Roman"/>
                <w:sz w:val="14"/>
                <w:szCs w:val="14"/>
                <w:color w:val="auto"/>
              </w:rPr>
              <w:t>Other</w:t>
            </w: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8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Commercial</w:t>
            </w:r>
          </w:p>
        </w:tc>
        <w:tc>
          <w:tcPr>
            <w:tcW w:w="126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color w:val="auto"/>
              </w:rPr>
              <w:t>Equity</w:t>
            </w:r>
          </w:p>
        </w:tc>
        <w:tc>
          <w:tcPr>
            <w:tcW w:w="118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rPr>
              <w:t>Consumer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assets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 Modifications Made to Borrowers Experiencing Financial Difficulty</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disclosures for loan modifications made to borrowers experiencing financial difficulty (“MBFD”) are presented in accordance with ASC Topic 310. The following tables show the amortized cost basis at the end of the periods of the loans modified to borrowers experiencing financial difficulty by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color w:val="auto"/>
              </w:rPr>
              <w:t>At or for the Year ended December 31, 2024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4"/>
                <w:szCs w:val="14"/>
                <w:color w:val="auto"/>
              </w:rPr>
              <w:t>Combination - Term Extension and Interest</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Term Extension and Payment Deferral</w:t>
            </w:r>
          </w:p>
        </w:tc>
        <w:tc>
          <w:tcPr>
            <w:tcW w:w="100" w:type="dxa"/>
            <w:vAlign w:val="bottom"/>
          </w:tcPr>
          <w:p>
            <w:pPr>
              <w:spacing w:after="0"/>
              <w:rPr>
                <w:sz w:val="16"/>
                <w:szCs w:val="16"/>
                <w:color w:val="auto"/>
              </w:rPr>
            </w:pPr>
          </w:p>
        </w:tc>
        <w:tc>
          <w:tcPr>
            <w:tcW w:w="248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Rate Reduction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9"/>
              <w:spacing w:after="0" w:line="129" w:lineRule="exact"/>
              <w:rPr>
                <w:sz w:val="20"/>
                <w:szCs w:val="20"/>
                <w:color w:val="auto"/>
              </w:rPr>
            </w:pPr>
            <w:r>
              <w:rPr>
                <w:rFonts w:ascii="Times New Roman" w:cs="Times New Roman" w:eastAsia="Times New Roman" w:hAnsi="Times New Roman"/>
                <w:sz w:val="14"/>
                <w:szCs w:val="14"/>
                <w:color w:val="auto"/>
              </w:rPr>
              <w:t>Amortized Cost</w:t>
            </w: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 of Total Class of</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9"/>
              <w:spacing w:after="0" w:line="129" w:lineRule="exact"/>
              <w:rPr>
                <w:sz w:val="20"/>
                <w:szCs w:val="20"/>
                <w:color w:val="auto"/>
              </w:rPr>
            </w:pPr>
            <w:r>
              <w:rPr>
                <w:rFonts w:ascii="Times New Roman" w:cs="Times New Roman" w:eastAsia="Times New Roman" w:hAnsi="Times New Roman"/>
                <w:sz w:val="14"/>
                <w:szCs w:val="14"/>
                <w:color w:val="auto"/>
              </w:rPr>
              <w:t>Amortized Cost</w:t>
            </w:r>
          </w:p>
        </w:tc>
        <w:tc>
          <w:tcPr>
            <w:tcW w:w="1340" w:type="dxa"/>
            <w:vAlign w:val="bottom"/>
            <w:tcBorders>
              <w:top w:val="single" w:sz="8" w:color="auto"/>
            </w:tcBorders>
          </w:tcPr>
          <w:p>
            <w:pPr>
              <w:jc w:val="center"/>
              <w:ind w:left="9"/>
              <w:spacing w:after="0" w:line="129" w:lineRule="exact"/>
              <w:rPr>
                <w:sz w:val="20"/>
                <w:szCs w:val="20"/>
                <w:color w:val="auto"/>
              </w:rPr>
            </w:pPr>
            <w:r>
              <w:rPr>
                <w:rFonts w:ascii="Times New Roman" w:cs="Times New Roman" w:eastAsia="Times New Roman" w:hAnsi="Times New Roman"/>
                <w:sz w:val="14"/>
                <w:szCs w:val="14"/>
                <w:color w:val="auto"/>
              </w:rPr>
              <w:t>% of Total Class 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3"/>
                <w:szCs w:val="13"/>
                <w:color w:val="auto"/>
              </w:rPr>
            </w:pPr>
          </w:p>
        </w:tc>
        <w:tc>
          <w:tcPr>
            <w:tcW w:w="104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color w:val="auto"/>
                <w:w w:val="98"/>
              </w:rPr>
              <w:t>Basis</w:t>
            </w:r>
          </w:p>
        </w:tc>
        <w:tc>
          <w:tcPr>
            <w:tcW w:w="80" w:type="dxa"/>
            <w:vAlign w:val="bottom"/>
          </w:tcPr>
          <w:p>
            <w:pPr>
              <w:spacing w:after="0"/>
              <w:rPr>
                <w:sz w:val="13"/>
                <w:szCs w:val="13"/>
                <w:color w:val="auto"/>
              </w:rPr>
            </w:pPr>
          </w:p>
        </w:tc>
        <w:tc>
          <w:tcPr>
            <w:tcW w:w="13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rPr>
              <w:t>Financing Receivable</w:t>
            </w:r>
          </w:p>
        </w:tc>
        <w:tc>
          <w:tcPr>
            <w:tcW w:w="100" w:type="dxa"/>
            <w:vAlign w:val="bottom"/>
          </w:tcPr>
          <w:p>
            <w:pPr>
              <w:spacing w:after="0"/>
              <w:rPr>
                <w:sz w:val="13"/>
                <w:szCs w:val="13"/>
                <w:color w:val="auto"/>
              </w:rPr>
            </w:pPr>
          </w:p>
        </w:tc>
        <w:tc>
          <w:tcPr>
            <w:tcW w:w="106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color w:val="auto"/>
                <w:w w:val="98"/>
              </w:rPr>
              <w:t>Basis</w:t>
            </w:r>
          </w:p>
        </w:tc>
        <w:tc>
          <w:tcPr>
            <w:tcW w:w="14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color w:val="auto"/>
              </w:rPr>
              <w:t>Financing Receivable</w:t>
            </w:r>
          </w:p>
        </w:tc>
        <w:tc>
          <w:tcPr>
            <w:tcW w:w="240" w:type="dxa"/>
            <w:vAlign w:val="bottom"/>
          </w:tcPr>
          <w:p>
            <w:pPr>
              <w:spacing w:after="0"/>
              <w:rPr>
                <w:sz w:val="13"/>
                <w:szCs w:val="13"/>
                <w:color w:val="auto"/>
              </w:rPr>
            </w:pPr>
          </w:p>
        </w:tc>
        <w:tc>
          <w:tcPr>
            <w:tcW w:w="80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28,850</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40,843</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14,189</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25,714</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29,318</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55,032</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color w:val="auto"/>
              </w:rPr>
              <w:t>At or for the Year ended December 31, 2023</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color w:val="auto"/>
              </w:rPr>
              <w:t>Combination - Term Extension and Interest</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Term Extension and Payment Deferral</w:t>
            </w:r>
          </w:p>
        </w:tc>
        <w:tc>
          <w:tcPr>
            <w:tcW w:w="100" w:type="dxa"/>
            <w:vAlign w:val="bottom"/>
          </w:tcPr>
          <w:p>
            <w:pPr>
              <w:spacing w:after="0"/>
              <w:rPr>
                <w:sz w:val="16"/>
                <w:szCs w:val="16"/>
                <w:color w:val="auto"/>
              </w:rPr>
            </w:pPr>
          </w:p>
        </w:tc>
        <w:tc>
          <w:tcPr>
            <w:tcW w:w="248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Rate Reduction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9"/>
              <w:spacing w:after="0" w:line="135" w:lineRule="exact"/>
              <w:rPr>
                <w:sz w:val="20"/>
                <w:szCs w:val="20"/>
                <w:color w:val="auto"/>
              </w:rPr>
            </w:pPr>
            <w:r>
              <w:rPr>
                <w:rFonts w:ascii="Times New Roman" w:cs="Times New Roman" w:eastAsia="Times New Roman" w:hAnsi="Times New Roman"/>
                <w:sz w:val="14"/>
                <w:szCs w:val="14"/>
                <w:color w:val="auto"/>
              </w:rPr>
              <w:t>Amortized Cost</w:t>
            </w:r>
          </w:p>
        </w:tc>
        <w:tc>
          <w:tcPr>
            <w:tcW w:w="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 of Total Class of</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9"/>
              <w:spacing w:after="0" w:line="135" w:lineRule="exact"/>
              <w:rPr>
                <w:sz w:val="20"/>
                <w:szCs w:val="20"/>
                <w:color w:val="auto"/>
              </w:rPr>
            </w:pPr>
            <w:r>
              <w:rPr>
                <w:rFonts w:ascii="Times New Roman" w:cs="Times New Roman" w:eastAsia="Times New Roman" w:hAnsi="Times New Roman"/>
                <w:sz w:val="14"/>
                <w:szCs w:val="14"/>
                <w:color w:val="auto"/>
              </w:rPr>
              <w:t>Amortized Cost</w:t>
            </w:r>
          </w:p>
        </w:tc>
        <w:tc>
          <w:tcPr>
            <w:tcW w:w="1340" w:type="dxa"/>
            <w:vAlign w:val="bottom"/>
            <w:tcBorders>
              <w:top w:val="single" w:sz="8" w:color="auto"/>
            </w:tcBorders>
          </w:tcPr>
          <w:p>
            <w:pPr>
              <w:jc w:val="center"/>
              <w:ind w:left="9"/>
              <w:spacing w:after="0" w:line="135" w:lineRule="exact"/>
              <w:rPr>
                <w:sz w:val="20"/>
                <w:szCs w:val="20"/>
                <w:color w:val="auto"/>
              </w:rPr>
            </w:pPr>
            <w:r>
              <w:rPr>
                <w:rFonts w:ascii="Times New Roman" w:cs="Times New Roman" w:eastAsia="Times New Roman" w:hAnsi="Times New Roman"/>
                <w:sz w:val="14"/>
                <w:szCs w:val="14"/>
                <w:color w:val="auto"/>
              </w:rPr>
              <w:t>% of Total Class 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5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3"/>
                <w:szCs w:val="13"/>
                <w:color w:val="auto"/>
              </w:rPr>
            </w:pPr>
          </w:p>
        </w:tc>
        <w:tc>
          <w:tcPr>
            <w:tcW w:w="1040" w:type="dxa"/>
            <w:vAlign w:val="bottom"/>
          </w:tcPr>
          <w:p>
            <w:pPr>
              <w:jc w:val="center"/>
              <w:ind w:right="29"/>
              <w:spacing w:after="0" w:line="153" w:lineRule="exact"/>
              <w:rPr>
                <w:sz w:val="20"/>
                <w:szCs w:val="20"/>
                <w:color w:val="auto"/>
              </w:rPr>
            </w:pPr>
            <w:r>
              <w:rPr>
                <w:rFonts w:ascii="Times New Roman" w:cs="Times New Roman" w:eastAsia="Times New Roman" w:hAnsi="Times New Roman"/>
                <w:sz w:val="14"/>
                <w:szCs w:val="14"/>
                <w:color w:val="auto"/>
                <w:w w:val="98"/>
              </w:rPr>
              <w:t>Basis</w:t>
            </w:r>
          </w:p>
        </w:tc>
        <w:tc>
          <w:tcPr>
            <w:tcW w:w="80" w:type="dxa"/>
            <w:vAlign w:val="bottom"/>
          </w:tcPr>
          <w:p>
            <w:pPr>
              <w:spacing w:after="0"/>
              <w:rPr>
                <w:sz w:val="13"/>
                <w:szCs w:val="13"/>
                <w:color w:val="auto"/>
              </w:rPr>
            </w:pPr>
          </w:p>
        </w:tc>
        <w:tc>
          <w:tcPr>
            <w:tcW w:w="136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color w:val="auto"/>
              </w:rPr>
              <w:t>Financing Receivable</w:t>
            </w:r>
          </w:p>
        </w:tc>
        <w:tc>
          <w:tcPr>
            <w:tcW w:w="100" w:type="dxa"/>
            <w:vAlign w:val="bottom"/>
          </w:tcPr>
          <w:p>
            <w:pPr>
              <w:spacing w:after="0"/>
              <w:rPr>
                <w:sz w:val="13"/>
                <w:szCs w:val="13"/>
                <w:color w:val="auto"/>
              </w:rPr>
            </w:pPr>
          </w:p>
        </w:tc>
        <w:tc>
          <w:tcPr>
            <w:tcW w:w="1060" w:type="dxa"/>
            <w:vAlign w:val="bottom"/>
          </w:tcPr>
          <w:p>
            <w:pPr>
              <w:jc w:val="center"/>
              <w:ind w:right="49"/>
              <w:spacing w:after="0" w:line="153" w:lineRule="exact"/>
              <w:rPr>
                <w:sz w:val="20"/>
                <w:szCs w:val="20"/>
                <w:color w:val="auto"/>
              </w:rPr>
            </w:pPr>
            <w:r>
              <w:rPr>
                <w:rFonts w:ascii="Times New Roman" w:cs="Times New Roman" w:eastAsia="Times New Roman" w:hAnsi="Times New Roman"/>
                <w:sz w:val="14"/>
                <w:szCs w:val="14"/>
                <w:color w:val="auto"/>
                <w:w w:val="98"/>
              </w:rPr>
              <w:t>Basis</w:t>
            </w:r>
          </w:p>
        </w:tc>
        <w:tc>
          <w:tcPr>
            <w:tcW w:w="14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color w:val="auto"/>
              </w:rPr>
              <w:t>Financing Receivable</w:t>
            </w:r>
          </w:p>
        </w:tc>
        <w:tc>
          <w:tcPr>
            <w:tcW w:w="240" w:type="dxa"/>
            <w:vAlign w:val="bottom"/>
          </w:tcPr>
          <w:p>
            <w:pPr>
              <w:spacing w:after="0"/>
              <w:rPr>
                <w:sz w:val="13"/>
                <w:szCs w:val="13"/>
                <w:color w:val="auto"/>
              </w:rPr>
            </w:pPr>
          </w:p>
        </w:tc>
        <w:tc>
          <w:tcPr>
            <w:tcW w:w="800" w:type="dxa"/>
            <w:vAlign w:val="bottom"/>
          </w:tcPr>
          <w:p>
            <w:pPr>
              <w:jc w:val="right"/>
              <w:ind w:right="309"/>
              <w:spacing w:after="0" w:line="153" w:lineRule="exact"/>
              <w:rPr>
                <w:sz w:val="20"/>
                <w:szCs w:val="20"/>
                <w:color w:val="auto"/>
              </w:rPr>
            </w:pPr>
            <w:r>
              <w:rPr>
                <w:rFonts w:ascii="Times New Roman" w:cs="Times New Roman" w:eastAsia="Times New Roman" w:hAnsi="Times New Roman"/>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0.40 %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48,891</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10,920</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20" w:type="dxa"/>
            <w:vAlign w:val="bottom"/>
          </w:tcPr>
          <w:p>
            <w:pPr>
              <w:spacing w:after="0"/>
              <w:rPr>
                <w:sz w:val="14"/>
                <w:szCs w:val="14"/>
                <w:color w:val="auto"/>
              </w:rPr>
            </w:pPr>
          </w:p>
        </w:tc>
        <w:tc>
          <w:tcPr>
            <w:tcW w:w="5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55,994</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60,559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77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tables describe the financial effect of the modifications made to borrowers experiencing financial difficulty by segment:</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340" w:type="dxa"/>
            <w:vAlign w:val="bottom"/>
            <w:tcBorders>
              <w:bottom w:val="single" w:sz="8" w:color="auto"/>
            </w:tcBorders>
            <w:gridSpan w:val="6"/>
          </w:tcPr>
          <w:p>
            <w:pPr>
              <w:ind w:left="1740"/>
              <w:spacing w:after="0"/>
              <w:rPr>
                <w:sz w:val="20"/>
                <w:szCs w:val="20"/>
                <w:color w:val="auto"/>
              </w:rPr>
            </w:pPr>
            <w:r>
              <w:rPr>
                <w:rFonts w:ascii="Times New Roman" w:cs="Times New Roman" w:eastAsia="Times New Roman" w:hAnsi="Times New Roman"/>
                <w:sz w:val="14"/>
                <w:szCs w:val="14"/>
                <w:color w:val="auto"/>
              </w:rPr>
              <w:t>At or for the Year ended December 31, 2024</w:t>
            </w:r>
          </w:p>
        </w:tc>
        <w:tc>
          <w:tcPr>
            <w:tcW w:w="164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Rate</w:t>
            </w:r>
          </w:p>
        </w:tc>
        <w:tc>
          <w:tcPr>
            <w:tcW w:w="1940" w:type="dxa"/>
            <w:vAlign w:val="bottom"/>
            <w:gridSpan w:val="3"/>
          </w:tcPr>
          <w:p>
            <w:pPr>
              <w:jc w:val="center"/>
              <w:ind w:right="400"/>
              <w:spacing w:after="0" w:line="129" w:lineRule="exact"/>
              <w:rPr>
                <w:sz w:val="20"/>
                <w:szCs w:val="20"/>
                <w:color w:val="auto"/>
              </w:rPr>
            </w:pPr>
            <w:r>
              <w:rPr>
                <w:rFonts w:ascii="Times New Roman" w:cs="Times New Roman" w:eastAsia="Times New Roman" w:hAnsi="Times New Roman"/>
                <w:sz w:val="14"/>
                <w:szCs w:val="14"/>
                <w:color w:val="auto"/>
                <w:w w:val="99"/>
              </w:rPr>
              <w:t>Weighted Average Term</w:t>
            </w:r>
          </w:p>
        </w:tc>
        <w:tc>
          <w:tcPr>
            <w:tcW w:w="16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2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(Dollars in thousands)</w:t>
            </w:r>
          </w:p>
        </w:tc>
        <w:tc>
          <w:tcPr>
            <w:tcW w:w="240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4"/>
                <w:szCs w:val="14"/>
                <w:color w:val="auto"/>
              </w:rPr>
              <w:t>Reduction</w:t>
            </w:r>
          </w:p>
        </w:tc>
        <w:tc>
          <w:tcPr>
            <w:tcW w:w="1940" w:type="dxa"/>
            <w:vAlign w:val="bottom"/>
            <w:gridSpan w:val="3"/>
          </w:tcPr>
          <w:p>
            <w:pPr>
              <w:jc w:val="center"/>
              <w:ind w:right="420"/>
              <w:spacing w:after="0" w:line="159" w:lineRule="exact"/>
              <w:rPr>
                <w:sz w:val="20"/>
                <w:szCs w:val="20"/>
                <w:color w:val="auto"/>
              </w:rPr>
            </w:pPr>
            <w:r>
              <w:rPr>
                <w:rFonts w:ascii="Times New Roman" w:cs="Times New Roman" w:eastAsia="Times New Roman" w:hAnsi="Times New Roman"/>
                <w:sz w:val="14"/>
                <w:szCs w:val="14"/>
                <w:color w:val="auto"/>
                <w:w w:val="99"/>
              </w:rPr>
              <w:t>Extension</w:t>
            </w:r>
          </w:p>
        </w:tc>
        <w:tc>
          <w:tcPr>
            <w:tcW w:w="1640" w:type="dxa"/>
            <w:vAlign w:val="bottom"/>
          </w:tcPr>
          <w:p>
            <w:pPr>
              <w:jc w:val="center"/>
              <w:ind w:right="169"/>
              <w:spacing w:after="0" w:line="159" w:lineRule="exact"/>
              <w:rPr>
                <w:sz w:val="20"/>
                <w:szCs w:val="20"/>
                <w:color w:val="auto"/>
              </w:rPr>
            </w:pPr>
            <w:r>
              <w:rPr>
                <w:rFonts w:ascii="Times New Roman" w:cs="Times New Roman" w:eastAsia="Times New Roman" w:hAnsi="Times New Roman"/>
                <w:sz w:val="14"/>
                <w:szCs w:val="14"/>
                <w:color w:val="auto"/>
              </w:rPr>
              <w:t>Principal Forgiveness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3 months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5"/>
              </w:rPr>
              <w:t>$—</w:t>
            </w:r>
          </w:p>
        </w:tc>
      </w:tr>
      <w:tr>
        <w:trPr>
          <w:trHeight w:val="184"/>
        </w:trPr>
        <w:tc>
          <w:tcPr>
            <w:tcW w:w="20" w:type="dxa"/>
            <w:vAlign w:val="bottom"/>
          </w:tcPr>
          <w:p>
            <w:pPr>
              <w:spacing w:after="0"/>
              <w:rPr>
                <w:sz w:val="16"/>
                <w:szCs w:val="16"/>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5 months</w:t>
            </w:r>
          </w:p>
        </w:tc>
        <w:tc>
          <w:tcPr>
            <w:tcW w:w="16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5"/>
              </w:rPr>
              <w:t>$—</w:t>
            </w:r>
          </w:p>
        </w:tc>
      </w:tr>
      <w:tr>
        <w:trPr>
          <w:trHeight w:val="46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40" w:type="dxa"/>
            <w:vAlign w:val="bottom"/>
            <w:tcBorders>
              <w:bottom w:val="single" w:sz="8" w:color="auto"/>
            </w:tcBorders>
            <w:gridSpan w:val="6"/>
          </w:tcPr>
          <w:p>
            <w:pPr>
              <w:ind w:left="1740"/>
              <w:spacing w:after="0"/>
              <w:rPr>
                <w:sz w:val="20"/>
                <w:szCs w:val="20"/>
                <w:color w:val="auto"/>
              </w:rPr>
            </w:pPr>
            <w:r>
              <w:rPr>
                <w:rFonts w:ascii="Times New Roman" w:cs="Times New Roman" w:eastAsia="Times New Roman" w:hAnsi="Times New Roman"/>
                <w:sz w:val="14"/>
                <w:szCs w:val="14"/>
                <w:color w:val="auto"/>
              </w:rPr>
              <w:t>At or for the Year ended December 31, 2023</w:t>
            </w:r>
          </w:p>
        </w:tc>
        <w:tc>
          <w:tcPr>
            <w:tcW w:w="164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Rate</w:t>
            </w:r>
          </w:p>
        </w:tc>
        <w:tc>
          <w:tcPr>
            <w:tcW w:w="1940" w:type="dxa"/>
            <w:vAlign w:val="bottom"/>
            <w:gridSpan w:val="3"/>
          </w:tcPr>
          <w:p>
            <w:pPr>
              <w:jc w:val="center"/>
              <w:ind w:right="400"/>
              <w:spacing w:after="0" w:line="129" w:lineRule="exact"/>
              <w:rPr>
                <w:sz w:val="20"/>
                <w:szCs w:val="20"/>
                <w:color w:val="auto"/>
              </w:rPr>
            </w:pPr>
            <w:r>
              <w:rPr>
                <w:rFonts w:ascii="Times New Roman" w:cs="Times New Roman" w:eastAsia="Times New Roman" w:hAnsi="Times New Roman"/>
                <w:sz w:val="14"/>
                <w:szCs w:val="14"/>
                <w:color w:val="auto"/>
                <w:w w:val="99"/>
              </w:rPr>
              <w:t>Weighted Average Term</w:t>
            </w:r>
          </w:p>
        </w:tc>
        <w:tc>
          <w:tcPr>
            <w:tcW w:w="16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2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(Dollars in thousands)</w:t>
            </w:r>
          </w:p>
        </w:tc>
        <w:tc>
          <w:tcPr>
            <w:tcW w:w="240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4"/>
                <w:szCs w:val="14"/>
                <w:color w:val="auto"/>
              </w:rPr>
              <w:t>Reduction</w:t>
            </w:r>
          </w:p>
        </w:tc>
        <w:tc>
          <w:tcPr>
            <w:tcW w:w="1940" w:type="dxa"/>
            <w:vAlign w:val="bottom"/>
            <w:gridSpan w:val="3"/>
          </w:tcPr>
          <w:p>
            <w:pPr>
              <w:jc w:val="center"/>
              <w:ind w:right="420"/>
              <w:spacing w:after="0" w:line="159" w:lineRule="exact"/>
              <w:rPr>
                <w:sz w:val="20"/>
                <w:szCs w:val="20"/>
                <w:color w:val="auto"/>
              </w:rPr>
            </w:pPr>
            <w:r>
              <w:rPr>
                <w:rFonts w:ascii="Times New Roman" w:cs="Times New Roman" w:eastAsia="Times New Roman" w:hAnsi="Times New Roman"/>
                <w:sz w:val="14"/>
                <w:szCs w:val="14"/>
                <w:color w:val="auto"/>
                <w:w w:val="99"/>
              </w:rPr>
              <w:t>Extension</w:t>
            </w:r>
          </w:p>
        </w:tc>
        <w:tc>
          <w:tcPr>
            <w:tcW w:w="1640" w:type="dxa"/>
            <w:vAlign w:val="bottom"/>
          </w:tcPr>
          <w:p>
            <w:pPr>
              <w:jc w:val="center"/>
              <w:ind w:right="169"/>
              <w:spacing w:after="0" w:line="159" w:lineRule="exact"/>
              <w:rPr>
                <w:sz w:val="20"/>
                <w:szCs w:val="20"/>
                <w:color w:val="auto"/>
              </w:rPr>
            </w:pPr>
            <w:r>
              <w:rPr>
                <w:rFonts w:ascii="Times New Roman" w:cs="Times New Roman" w:eastAsia="Times New Roman" w:hAnsi="Times New Roman"/>
                <w:sz w:val="14"/>
                <w:szCs w:val="14"/>
                <w:color w:val="auto"/>
              </w:rPr>
              <w:t>Principal Forgiveness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99"/>
              </w:rPr>
              <w:t>1 month</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5"/>
              </w:rPr>
              <w:t>$—</w:t>
            </w:r>
          </w:p>
        </w:tc>
      </w:tr>
      <w:tr>
        <w:trPr>
          <w:trHeight w:val="180"/>
        </w:trPr>
        <w:tc>
          <w:tcPr>
            <w:tcW w:w="20" w:type="dxa"/>
            <w:vAlign w:val="bottom"/>
          </w:tcPr>
          <w:p>
            <w:pPr>
              <w:spacing w:after="0"/>
              <w:rPr>
                <w:sz w:val="15"/>
                <w:szCs w:val="15"/>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1.1 years</w:t>
            </w:r>
          </w:p>
        </w:tc>
        <w:tc>
          <w:tcPr>
            <w:tcW w:w="16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5"/>
              </w:rPr>
              <w:t>$—</w:t>
            </w:r>
          </w:p>
        </w:tc>
      </w:tr>
      <w:tr>
        <w:trPr>
          <w:trHeight w:val="180"/>
        </w:trPr>
        <w:tc>
          <w:tcPr>
            <w:tcW w:w="20" w:type="dxa"/>
            <w:vAlign w:val="bottom"/>
            <w:shd w:val="clear" w:color="auto" w:fill="CCEEFF"/>
          </w:tcPr>
          <w:p>
            <w:pPr>
              <w:spacing w:after="0"/>
              <w:rPr>
                <w:sz w:val="15"/>
                <w:szCs w:val="15"/>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color w:val="auto"/>
              </w:rPr>
              <w:t>8 months</w:t>
            </w:r>
          </w:p>
        </w:tc>
        <w:tc>
          <w:tcPr>
            <w:tcW w:w="16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5"/>
              </w:rPr>
              <w:t>$—</w:t>
            </w:r>
          </w:p>
        </w:tc>
      </w:tr>
      <w:tr>
        <w:trPr>
          <w:trHeight w:val="180"/>
        </w:trPr>
        <w:tc>
          <w:tcPr>
            <w:tcW w:w="20" w:type="dxa"/>
            <w:vAlign w:val="bottom"/>
          </w:tcPr>
          <w:p>
            <w:pPr>
              <w:spacing w:after="0"/>
              <w:rPr>
                <w:sz w:val="15"/>
                <w:szCs w:val="15"/>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24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7 months</w:t>
            </w:r>
          </w:p>
        </w:tc>
        <w:tc>
          <w:tcPr>
            <w:tcW w:w="16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5"/>
              </w:rPr>
              <w:t>$—</w:t>
            </w:r>
          </w:p>
        </w:tc>
      </w:tr>
      <w:tr>
        <w:trPr>
          <w:trHeight w:val="180"/>
        </w:trPr>
        <w:tc>
          <w:tcPr>
            <w:tcW w:w="20" w:type="dxa"/>
            <w:vAlign w:val="bottom"/>
            <w:shd w:val="clear" w:color="auto" w:fill="CCEEFF"/>
          </w:tcPr>
          <w:p>
            <w:pPr>
              <w:spacing w:after="0"/>
              <w:rPr>
                <w:sz w:val="15"/>
                <w:szCs w:val="15"/>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4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color w:val="auto"/>
              </w:rPr>
              <w:t>10 months</w:t>
            </w:r>
          </w:p>
        </w:tc>
        <w:tc>
          <w:tcPr>
            <w:tcW w:w="16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5"/>
              </w:rPr>
              <w:t>$10</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depict the performance of loans that have been modified in the last twelve months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40"/>
        </w:trPr>
        <w:tc>
          <w:tcPr>
            <w:tcW w:w="20" w:type="dxa"/>
            <w:vAlign w:val="bottom"/>
          </w:tcPr>
          <w:p>
            <w:pPr>
              <w:spacing w:after="0"/>
              <w:rPr>
                <w:sz w:val="12"/>
                <w:szCs w:val="12"/>
                <w:color w:val="auto"/>
              </w:rPr>
            </w:pPr>
          </w:p>
        </w:tc>
        <w:tc>
          <w:tcPr>
            <w:tcW w:w="316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Pr>
          <w:p>
            <w:pPr>
              <w:spacing w:after="0"/>
              <w:rPr>
                <w:sz w:val="12"/>
                <w:szCs w:val="12"/>
                <w:color w:val="auto"/>
              </w:rPr>
            </w:pPr>
          </w:p>
        </w:tc>
        <w:tc>
          <w:tcPr>
            <w:tcW w:w="1280" w:type="dxa"/>
            <w:vAlign w:val="bottom"/>
            <w:gridSpan w:val="2"/>
          </w:tcPr>
          <w:p>
            <w:pPr>
              <w:ind w:left="280"/>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gridSpan w:val="2"/>
          </w:tcPr>
          <w:p>
            <w:pPr>
              <w:ind w:left="560"/>
              <w:spacing w:after="0" w:line="140" w:lineRule="exact"/>
              <w:rPr>
                <w:sz w:val="20"/>
                <w:szCs w:val="20"/>
                <w:color w:val="auto"/>
              </w:rPr>
            </w:pPr>
            <w:r>
              <w:rPr>
                <w:rFonts w:ascii="Times New Roman" w:cs="Times New Roman" w:eastAsia="Times New Roman" w:hAnsi="Times New Roman"/>
                <w:sz w:val="14"/>
                <w:szCs w:val="14"/>
                <w:color w:val="auto"/>
              </w:rPr>
              <w:t>Current</w:t>
            </w:r>
          </w:p>
        </w:tc>
        <w:tc>
          <w:tcPr>
            <w:tcW w:w="1640" w:type="dxa"/>
            <w:vAlign w:val="bottom"/>
            <w:gridSpan w:val="2"/>
          </w:tcPr>
          <w:p>
            <w:pPr>
              <w:jc w:val="center"/>
              <w:ind w:right="80"/>
              <w:spacing w:after="0" w:line="140" w:lineRule="exact"/>
              <w:rPr>
                <w:sz w:val="20"/>
                <w:szCs w:val="20"/>
                <w:color w:val="auto"/>
              </w:rPr>
            </w:pPr>
            <w:r>
              <w:rPr>
                <w:rFonts w:ascii="Times New Roman" w:cs="Times New Roman" w:eastAsia="Times New Roman" w:hAnsi="Times New Roman"/>
                <w:sz w:val="14"/>
                <w:szCs w:val="14"/>
                <w:color w:val="auto"/>
              </w:rPr>
              <w:t>30-89 Days Past Due</w:t>
            </w:r>
          </w:p>
        </w:tc>
        <w:tc>
          <w:tcPr>
            <w:tcW w:w="164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90 Days or More Past Due</w:t>
            </w:r>
          </w:p>
        </w:tc>
        <w:tc>
          <w:tcPr>
            <w:tcW w:w="1560" w:type="dxa"/>
            <w:vAlign w:val="bottom"/>
          </w:tcPr>
          <w:p>
            <w:pPr>
              <w:jc w:val="right"/>
              <w:ind w:right="349"/>
              <w:spacing w:after="0" w:line="140" w:lineRule="exact"/>
              <w:rPr>
                <w:sz w:val="20"/>
                <w:szCs w:val="20"/>
                <w:color w:val="auto"/>
              </w:rPr>
            </w:pPr>
            <w:r>
              <w:rPr>
                <w:rFonts w:ascii="Times New Roman" w:cs="Times New Roman" w:eastAsia="Times New Roman" w:hAnsi="Times New Roman"/>
                <w:sz w:val="14"/>
                <w:szCs w:val="14"/>
                <w:color w:val="auto"/>
              </w:rPr>
              <w:t>Non-Accrual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40,843</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37,585</w:t>
            </w:r>
          </w:p>
        </w:tc>
        <w:tc>
          <w:tcPr>
            <w:tcW w:w="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r>
      <w:tr>
        <w:trPr>
          <w:trHeight w:val="180"/>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14,189</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5"/>
                <w:szCs w:val="15"/>
                <w:color w:val="auto"/>
              </w:rPr>
            </w:pPr>
          </w:p>
        </w:tc>
        <w:tc>
          <w:tcPr>
            <w:tcW w:w="164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16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December 31, 2023</w:t>
            </w: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316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Pr>
          <w:p>
            <w:pPr>
              <w:spacing w:after="0"/>
              <w:rPr>
                <w:sz w:val="12"/>
                <w:szCs w:val="12"/>
                <w:color w:val="auto"/>
              </w:rPr>
            </w:pPr>
          </w:p>
        </w:tc>
        <w:tc>
          <w:tcPr>
            <w:tcW w:w="1280" w:type="dxa"/>
            <w:vAlign w:val="bottom"/>
            <w:gridSpan w:val="2"/>
          </w:tcPr>
          <w:p>
            <w:pPr>
              <w:ind w:left="280"/>
              <w:spacing w:after="0" w:line="140"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gridSpan w:val="2"/>
          </w:tcPr>
          <w:p>
            <w:pPr>
              <w:ind w:left="560"/>
              <w:spacing w:after="0" w:line="140" w:lineRule="exact"/>
              <w:rPr>
                <w:sz w:val="20"/>
                <w:szCs w:val="20"/>
                <w:color w:val="auto"/>
              </w:rPr>
            </w:pPr>
            <w:r>
              <w:rPr>
                <w:rFonts w:ascii="Times New Roman" w:cs="Times New Roman" w:eastAsia="Times New Roman" w:hAnsi="Times New Roman"/>
                <w:sz w:val="14"/>
                <w:szCs w:val="14"/>
                <w:color w:val="auto"/>
              </w:rPr>
              <w:t>Current</w:t>
            </w:r>
          </w:p>
        </w:tc>
        <w:tc>
          <w:tcPr>
            <w:tcW w:w="1640" w:type="dxa"/>
            <w:vAlign w:val="bottom"/>
            <w:gridSpan w:val="2"/>
          </w:tcPr>
          <w:p>
            <w:pPr>
              <w:jc w:val="center"/>
              <w:ind w:right="80"/>
              <w:spacing w:after="0" w:line="140" w:lineRule="exact"/>
              <w:rPr>
                <w:sz w:val="20"/>
                <w:szCs w:val="20"/>
                <w:color w:val="auto"/>
              </w:rPr>
            </w:pPr>
            <w:r>
              <w:rPr>
                <w:rFonts w:ascii="Times New Roman" w:cs="Times New Roman" w:eastAsia="Times New Roman" w:hAnsi="Times New Roman"/>
                <w:sz w:val="14"/>
                <w:szCs w:val="14"/>
                <w:color w:val="auto"/>
              </w:rPr>
              <w:t>30-89 Days Past Due</w:t>
            </w:r>
          </w:p>
        </w:tc>
        <w:tc>
          <w:tcPr>
            <w:tcW w:w="164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90 Days or More Past Due</w:t>
            </w:r>
          </w:p>
        </w:tc>
        <w:tc>
          <w:tcPr>
            <w:tcW w:w="1560" w:type="dxa"/>
            <w:vAlign w:val="bottom"/>
          </w:tcPr>
          <w:p>
            <w:pPr>
              <w:jc w:val="right"/>
              <w:ind w:right="349"/>
              <w:spacing w:after="0" w:line="140" w:lineRule="exact"/>
              <w:rPr>
                <w:sz w:val="20"/>
                <w:szCs w:val="20"/>
                <w:color w:val="auto"/>
              </w:rPr>
            </w:pPr>
            <w:r>
              <w:rPr>
                <w:rFonts w:ascii="Times New Roman" w:cs="Times New Roman" w:eastAsia="Times New Roman" w:hAnsi="Times New Roman"/>
                <w:sz w:val="14"/>
                <w:szCs w:val="14"/>
                <w:color w:val="auto"/>
              </w:rPr>
              <w:t>Non-Accrual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48,891</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45,181</w:t>
            </w:r>
          </w:p>
        </w:tc>
        <w:tc>
          <w:tcPr>
            <w:tcW w:w="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tcPr>
          <w:p>
            <w:pPr>
              <w:spacing w:after="0"/>
              <w:rPr>
                <w:sz w:val="15"/>
                <w:szCs w:val="15"/>
                <w:color w:val="auto"/>
              </w:rPr>
            </w:pPr>
          </w:p>
        </w:tc>
        <w:tc>
          <w:tcPr>
            <w:tcW w:w="164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commercial</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10,360</w:t>
            </w:r>
          </w:p>
        </w:tc>
        <w:tc>
          <w:tcPr>
            <w:tcW w:w="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r>
      <w:tr>
        <w:trPr>
          <w:trHeight w:val="180"/>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equity</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60,559</w:t>
            </w:r>
          </w:p>
        </w:tc>
        <w:tc>
          <w:tcPr>
            <w:tcW w:w="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56,240</w:t>
            </w:r>
          </w:p>
        </w:tc>
        <w:tc>
          <w:tcPr>
            <w:tcW w:w="6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Pr>
          <w:p>
            <w:pPr>
              <w:spacing w:after="0"/>
              <w:rPr>
                <w:sz w:val="14"/>
                <w:szCs w:val="14"/>
                <w:color w:val="auto"/>
              </w:rPr>
            </w:pPr>
          </w:p>
        </w:tc>
        <w:tc>
          <w:tcPr>
            <w:tcW w:w="156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Loans that were modified in the twelve months that had a payment default during the period had an ending balances of $183,000 for period ending December 31, 2024, and were included in other commercial loans. During the period ending December 31, 2023, there were loans with period ending balances of $2,159,000 and $37,000 that were modified during the twelve months that had a payment default, and were included in commercial real estate and other commercial loans, respectively. There were $462,000 and $5,361,000 of additional unfunded commitments on MBFD’s outstanding at December 31, 2024 and 2023, respectively. At December 31, 2024 and 2023, the Company had $207,000 and $98,000, respectively, of consumer mortgage loans secured by residential real estate properties for which formal foreclosure proceedings are in process. At December 31, 2024 and 2023, the Company had $0 and $15,000, respectively, of OREO secured by residential real estate properties.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Credit Quality Indicators</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categorizes commercial real estate and other commercial loans into risk categories based on relevant information about the ability of borrowers to service their obligations. The following tables present the amortized cost in commercial real estate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color w:val="auto"/>
              </w:rPr>
              <w:t>December 31, 2024</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Doubtful/</w:t>
            </w: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2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Gross Charge-Offs</w:t>
            </w:r>
          </w:p>
        </w:tc>
        <w:tc>
          <w:tcPr>
            <w:tcW w:w="1340" w:type="dxa"/>
            <w:vAlign w:val="bottom"/>
            <w:gridSpan w:val="2"/>
          </w:tcPr>
          <w:p>
            <w:pPr>
              <w:ind w:left="4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6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color w:val="auto"/>
              </w:rPr>
              <w:t>Pass</w:t>
            </w:r>
          </w:p>
        </w:tc>
        <w:tc>
          <w:tcPr>
            <w:tcW w:w="13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Special Mention</w:t>
            </w:r>
          </w:p>
        </w:tc>
        <w:tc>
          <w:tcPr>
            <w:tcW w:w="136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Substandard</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 loans</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1,321,385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1,287,352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1,334,689</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1,311,808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18,151</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2,367,874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2,307,217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2,043,830</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1,988,629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30,965</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1,043,858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1,036,774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2,515,573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2,446,084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336,504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331,130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10,963,713</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10,708,994</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108,573</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146,146</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commercial loans</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407,909</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402,180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315,890</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312,154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496,999</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492,111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462,173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452,731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203,771</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199,643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495,291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468,850</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737,502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706,991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3,119,535</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3,034,660</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23,082</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61,357</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color w:val="auto"/>
              </w:rPr>
              <w:t>December 31, 2023</w:t>
            </w: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Doubtful/</w:t>
            </w: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12"/>
                <w:szCs w:val="12"/>
                <w:color w:val="auto"/>
              </w:rPr>
            </w:pPr>
          </w:p>
        </w:tc>
        <w:tc>
          <w:tcPr>
            <w:tcW w:w="12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Gross Charge-Offs</w:t>
            </w:r>
          </w:p>
        </w:tc>
        <w:tc>
          <w:tcPr>
            <w:tcW w:w="1340" w:type="dxa"/>
            <w:vAlign w:val="bottom"/>
            <w:gridSpan w:val="2"/>
          </w:tcPr>
          <w:p>
            <w:pPr>
              <w:ind w:left="48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36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color w:val="auto"/>
              </w:rPr>
              <w:t>Pass</w:t>
            </w:r>
          </w:p>
        </w:tc>
        <w:tc>
          <w:tcPr>
            <w:tcW w:w="13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Special Mention</w:t>
            </w:r>
          </w:p>
        </w:tc>
        <w:tc>
          <w:tcPr>
            <w:tcW w:w="136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Substandard</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Loss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 loans</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1,313,446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2,547,939</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2,520,484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12,855</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2,200,677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2,178,153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1,130,117</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1,124,525</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2019</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691,810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656,203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2,129,808</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2,053,011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18,818</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57,948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286,855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285,432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10,303,306</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10,131,254</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52,657</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119,363</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commercial loans</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369,059</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367,337</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566,295</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561,567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531,558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519,151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245,962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240,613</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2019</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145,828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141,336</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448,619</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443,400</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594,542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577,953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2,901,863</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2,851,357</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25,483</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24,897</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90" w:name="page91"/>
    <w:bookmarkEnd w:id="90"/>
    <w:p>
      <w:pPr>
        <w:spacing w:after="0" w:line="276" w:lineRule="auto"/>
        <w:rPr>
          <w:sz w:val="20"/>
          <w:szCs w:val="20"/>
          <w:color w:val="auto"/>
        </w:rPr>
      </w:pPr>
      <w:r>
        <w:rPr>
          <w:rFonts w:ascii="Times New Roman" w:cs="Times New Roman" w:eastAsia="Times New Roman" w:hAnsi="Times New Roman"/>
          <w:sz w:val="14"/>
          <w:szCs w:val="14"/>
          <w:color w:val="auto"/>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December 31, 2024</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29"/>
        </w:trPr>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Non-Accrual and 90</w:t>
            </w:r>
          </w:p>
        </w:tc>
        <w:tc>
          <w:tcPr>
            <w:tcW w:w="320" w:type="dxa"/>
            <w:vAlign w:val="bottom"/>
          </w:tcPr>
          <w:p>
            <w:pPr>
              <w:spacing w:after="0"/>
              <w:rPr>
                <w:sz w:val="11"/>
                <w:szCs w:val="11"/>
                <w:color w:val="auto"/>
              </w:rPr>
            </w:pPr>
          </w:p>
        </w:tc>
      </w:tr>
      <w:tr>
        <w:trPr>
          <w:trHeight w:val="144"/>
        </w:trPr>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Days or More Past</w:t>
            </w:r>
          </w:p>
        </w:tc>
      </w:tr>
      <w:tr>
        <w:trPr>
          <w:trHeight w:val="142"/>
        </w:trPr>
        <w:tc>
          <w:tcPr>
            <w:tcW w:w="340" w:type="dxa"/>
            <w:vAlign w:val="bottom"/>
          </w:tcPr>
          <w:p>
            <w:pPr>
              <w:spacing w:after="0"/>
              <w:rPr>
                <w:sz w:val="12"/>
                <w:szCs w:val="12"/>
                <w:color w:val="auto"/>
              </w:rPr>
            </w:pPr>
          </w:p>
        </w:tc>
        <w:tc>
          <w:tcPr>
            <w:tcW w:w="4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80" w:type="dxa"/>
            <w:vAlign w:val="bottom"/>
          </w:tcPr>
          <w:p>
            <w:pPr>
              <w:spacing w:after="0"/>
              <w:rPr>
                <w:sz w:val="12"/>
                <w:szCs w:val="12"/>
                <w:color w:val="auto"/>
              </w:rPr>
            </w:pP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w w:val="97"/>
              </w:rPr>
              <w:t>Gross Charge-Offs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480"/>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13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4"/>
                <w:szCs w:val="14"/>
                <w:color w:val="auto"/>
              </w:rPr>
              <w:t>Performing</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30-89 Days Past Due</w:t>
            </w:r>
          </w:p>
        </w:tc>
        <w:tc>
          <w:tcPr>
            <w:tcW w:w="15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color w:val="auto"/>
              </w:rPr>
              <w:t>Due</w:t>
            </w:r>
          </w:p>
        </w:tc>
      </w:tr>
      <w:tr>
        <w:trPr>
          <w:trHeight w:val="22"/>
        </w:trPr>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20" w:type="dxa"/>
            <w:vAlign w:val="bottom"/>
          </w:tcPr>
          <w:p>
            <w:pPr>
              <w:spacing w:after="0"/>
              <w:rPr>
                <w:sz w:val="13"/>
                <w:szCs w:val="13"/>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211,519</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210,806</w:t>
            </w:r>
          </w:p>
        </w:tc>
        <w:tc>
          <w:tcPr>
            <w:tcW w:w="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267,000</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264,817</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655,918</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652,993</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455,196</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452,628</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90,752</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90,649</w:t>
            </w:r>
          </w:p>
        </w:tc>
        <w:tc>
          <w:tcPr>
            <w:tcW w:w="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178,544</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173,003</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40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1,858,929</w:t>
            </w:r>
          </w:p>
        </w:tc>
        <w:tc>
          <w:tcPr>
            <w:tcW w:w="6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1,844,896</w:t>
            </w:r>
          </w:p>
        </w:tc>
        <w:tc>
          <w:tcPr>
            <w:tcW w:w="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8,434</w:t>
            </w:r>
          </w:p>
        </w:tc>
        <w:tc>
          <w:tcPr>
            <w:tcW w:w="32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2"/>
        </w:trPr>
        <w:tc>
          <w:tcPr>
            <w:tcW w:w="340" w:type="dxa"/>
            <w:vAlign w:val="bottom"/>
          </w:tcPr>
          <w:p>
            <w:pPr>
              <w:spacing w:after="0"/>
              <w:rPr>
                <w:sz w:val="12"/>
                <w:szCs w:val="12"/>
                <w:color w:val="auto"/>
              </w:rPr>
            </w:pPr>
          </w:p>
        </w:tc>
        <w:tc>
          <w:tcPr>
            <w:tcW w:w="40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Home equity loans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tcPr>
          <w:p>
            <w:pPr>
              <w:spacing w:after="0"/>
              <w:rPr>
                <w:sz w:val="12"/>
                <w:szCs w:val="12"/>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w:t>
            </w:r>
          </w:p>
        </w:tc>
        <w:tc>
          <w:tcPr>
            <w:tcW w:w="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1,045</w:t>
            </w:r>
          </w:p>
        </w:tc>
        <w:tc>
          <w:tcPr>
            <w:tcW w:w="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1,858</w:t>
            </w:r>
          </w:p>
        </w:tc>
        <w:tc>
          <w:tcPr>
            <w:tcW w:w="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780</w:t>
            </w:r>
          </w:p>
        </w:tc>
        <w:tc>
          <w:tcPr>
            <w:tcW w:w="6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4,353</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4,264</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922,634</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915,614</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32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40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930,994</w:t>
            </w:r>
          </w:p>
        </w:tc>
        <w:tc>
          <w:tcPr>
            <w:tcW w:w="6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923,858</w:t>
            </w:r>
          </w:p>
        </w:tc>
        <w:tc>
          <w:tcPr>
            <w:tcW w:w="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32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2"/>
        </w:trPr>
        <w:tc>
          <w:tcPr>
            <w:tcW w:w="340" w:type="dxa"/>
            <w:vAlign w:val="bottom"/>
          </w:tcPr>
          <w:p>
            <w:pPr>
              <w:spacing w:after="0"/>
              <w:rPr>
                <w:sz w:val="12"/>
                <w:szCs w:val="12"/>
                <w:color w:val="auto"/>
              </w:rPr>
            </w:pPr>
          </w:p>
        </w:tc>
        <w:tc>
          <w:tcPr>
            <w:tcW w:w="40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consumer loans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tcPr>
          <w:p>
            <w:pPr>
              <w:spacing w:after="0"/>
              <w:rPr>
                <w:sz w:val="12"/>
                <w:szCs w:val="12"/>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116,312</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114,164</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89,684</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89,218</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64,808</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63,843</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36,755</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36,233</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18,648</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18,601</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20,014</w:t>
            </w:r>
          </w:p>
        </w:tc>
        <w:tc>
          <w:tcPr>
            <w:tcW w:w="6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42,457</w:t>
            </w: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42,039</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40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9,781</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388,678</w:t>
            </w:r>
          </w:p>
        </w:tc>
        <w:tc>
          <w:tcPr>
            <w:tcW w:w="6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383,836</w:t>
            </w:r>
          </w:p>
        </w:tc>
        <w:tc>
          <w:tcPr>
            <w:tcW w:w="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32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66"/>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gridSpan w:val="3"/>
          </w:tcPr>
          <w:p>
            <w:pPr>
              <w:jc w:val="right"/>
              <w:ind w:right="1169"/>
              <w:spacing w:after="0"/>
              <w:rPr>
                <w:sz w:val="20"/>
                <w:szCs w:val="20"/>
                <w:color w:val="auto"/>
              </w:rPr>
            </w:pPr>
            <w:r>
              <w:rPr>
                <w:rFonts w:ascii="Times New Roman" w:cs="Times New Roman" w:eastAsia="Times New Roman" w:hAnsi="Times New Roman"/>
                <w:sz w:val="14"/>
                <w:szCs w:val="14"/>
                <w:color w:val="auto"/>
                <w:w w:val="99"/>
              </w:rPr>
              <w:t>91</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87"/>
        </w:trPr>
        <w:tc>
          <w:tcPr>
            <w:tcW w:w="3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December 31, 2023</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Non-Accrual and 90</w:t>
            </w: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Days or More Past</w:t>
            </w:r>
          </w:p>
        </w:tc>
      </w:tr>
      <w:tr>
        <w:trPr>
          <w:trHeight w:val="142"/>
        </w:trPr>
        <w:tc>
          <w:tcPr>
            <w:tcW w:w="20" w:type="dxa"/>
            <w:vAlign w:val="bottom"/>
          </w:tcPr>
          <w:p>
            <w:pPr>
              <w:spacing w:after="0"/>
              <w:rPr>
                <w:sz w:val="12"/>
                <w:szCs w:val="12"/>
                <w:color w:val="auto"/>
              </w:rPr>
            </w:pPr>
          </w:p>
        </w:tc>
        <w:tc>
          <w:tcPr>
            <w:tcW w:w="4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80" w:type="dxa"/>
            <w:vAlign w:val="bottom"/>
          </w:tcPr>
          <w:p>
            <w:pPr>
              <w:spacing w:after="0"/>
              <w:rPr>
                <w:sz w:val="12"/>
                <w:szCs w:val="12"/>
                <w:color w:val="auto"/>
              </w:rPr>
            </w:pPr>
          </w:p>
        </w:tc>
        <w:tc>
          <w:tcPr>
            <w:tcW w:w="126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Gross Charge-Offs</w:t>
            </w:r>
          </w:p>
        </w:tc>
        <w:tc>
          <w:tcPr>
            <w:tcW w:w="1300" w:type="dxa"/>
            <w:vAlign w:val="bottom"/>
            <w:gridSpan w:val="2"/>
          </w:tcPr>
          <w:p>
            <w:pPr>
              <w:ind w:left="480"/>
              <w:spacing w:after="0" w:line="122" w:lineRule="exact"/>
              <w:rPr>
                <w:sz w:val="20"/>
                <w:szCs w:val="20"/>
                <w:color w:val="auto"/>
              </w:rPr>
            </w:pPr>
            <w:r>
              <w:rPr>
                <w:rFonts w:ascii="Times New Roman" w:cs="Times New Roman" w:eastAsia="Times New Roman" w:hAnsi="Times New Roman"/>
                <w:sz w:val="14"/>
                <w:szCs w:val="14"/>
                <w:color w:val="auto"/>
              </w:rPr>
              <w:t>Total</w:t>
            </w:r>
          </w:p>
        </w:tc>
        <w:tc>
          <w:tcPr>
            <w:tcW w:w="13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4"/>
                <w:szCs w:val="14"/>
                <w:color w:val="auto"/>
              </w:rPr>
              <w:t>Performing</w:t>
            </w:r>
          </w:p>
        </w:tc>
        <w:tc>
          <w:tcPr>
            <w:tcW w:w="13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30-89 Days Past Due</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Due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real estate loans</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234,568</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233,753</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673,782</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671,196</w:t>
            </w:r>
          </w:p>
        </w:tc>
        <w:tc>
          <w:tcPr>
            <w:tcW w:w="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495,645</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495,645</w:t>
            </w:r>
          </w:p>
        </w:tc>
        <w:tc>
          <w:tcPr>
            <w:tcW w:w="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99,199</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99,199</w:t>
            </w:r>
          </w:p>
        </w:tc>
        <w:tc>
          <w:tcPr>
            <w:tcW w:w="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2019</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42,054</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42,054</w:t>
            </w:r>
          </w:p>
        </w:tc>
        <w:tc>
          <w:tcPr>
            <w:tcW w:w="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158,828</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153,489</w:t>
            </w:r>
          </w:p>
        </w:tc>
        <w:tc>
          <w:tcPr>
            <w:tcW w:w="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r>
      <w:tr>
        <w:trPr>
          <w:trHeight w:val="180"/>
        </w:trPr>
        <w:tc>
          <w:tcPr>
            <w:tcW w:w="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47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1,704,544</w:t>
            </w:r>
          </w:p>
        </w:tc>
        <w:tc>
          <w:tcPr>
            <w:tcW w:w="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1,695,804</w:t>
            </w:r>
          </w:p>
        </w:tc>
        <w:tc>
          <w:tcPr>
            <w:tcW w:w="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7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Home equity loans</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2019</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80"/>
        </w:trPr>
        <w:tc>
          <w:tcPr>
            <w:tcW w:w="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882,302</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875,735</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r>
      <w:tr>
        <w:trPr>
          <w:trHeight w:val="171"/>
        </w:trPr>
        <w:tc>
          <w:tcPr>
            <w:tcW w:w="20" w:type="dxa"/>
            <w:vAlign w:val="bottom"/>
          </w:tcPr>
          <w:p>
            <w:pPr>
              <w:spacing w:after="0"/>
              <w:rPr>
                <w:sz w:val="14"/>
                <w:szCs w:val="14"/>
                <w:color w:val="auto"/>
              </w:rPr>
            </w:pPr>
          </w:p>
        </w:tc>
        <w:tc>
          <w:tcPr>
            <w:tcW w:w="47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888,013</w:t>
            </w:r>
          </w:p>
        </w:tc>
        <w:tc>
          <w:tcPr>
            <w:tcW w:w="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881,231</w:t>
            </w:r>
          </w:p>
        </w:tc>
        <w:tc>
          <w:tcPr>
            <w:tcW w:w="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7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consumer loans</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139,295</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137,035</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2022</w:t>
            </w: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98,630</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97,536</w:t>
            </w:r>
          </w:p>
        </w:tc>
        <w:tc>
          <w:tcPr>
            <w:tcW w:w="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2021</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62,961</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62,107</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2020</w:t>
            </w: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29,143</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29,012</w:t>
            </w:r>
          </w:p>
        </w:tc>
        <w:tc>
          <w:tcPr>
            <w:tcW w:w="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2019</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12,279</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0" w:type="dxa"/>
            <w:vAlign w:val="bottom"/>
          </w:tcPr>
          <w:p>
            <w:pPr>
              <w:spacing w:after="0"/>
              <w:rPr>
                <w:sz w:val="15"/>
                <w:szCs w:val="15"/>
                <w:color w:val="auto"/>
              </w:rPr>
            </w:pPr>
          </w:p>
        </w:tc>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Prior</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17,314</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16,664</w:t>
            </w:r>
          </w:p>
        </w:tc>
        <w:tc>
          <w:tcPr>
            <w:tcW w:w="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80"/>
        </w:trPr>
        <w:tc>
          <w:tcPr>
            <w:tcW w:w="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Revolving loans</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40,678</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39,489</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20" w:type="dxa"/>
            <w:vAlign w:val="bottom"/>
          </w:tcPr>
          <w:p>
            <w:pPr>
              <w:spacing w:after="0"/>
              <w:rPr>
                <w:sz w:val="14"/>
                <w:szCs w:val="14"/>
                <w:color w:val="auto"/>
              </w:rPr>
            </w:pPr>
          </w:p>
        </w:tc>
        <w:tc>
          <w:tcPr>
            <w:tcW w:w="47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8,975</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400,356</w:t>
            </w:r>
          </w:p>
        </w:tc>
        <w:tc>
          <w:tcPr>
            <w:tcW w:w="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394,122</w:t>
            </w:r>
          </w:p>
        </w:tc>
        <w:tc>
          <w:tcPr>
            <w:tcW w:w="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6"/>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4. Premises and Equipment</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Premises and equipment, net of accumulated depreciation, consist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Pr>
          <w:p>
            <w:pPr>
              <w:spacing w:after="0"/>
              <w:rPr>
                <w:sz w:val="13"/>
                <w:szCs w:val="13"/>
                <w:color w:val="auto"/>
              </w:rPr>
            </w:pPr>
          </w:p>
        </w:tc>
        <w:tc>
          <w:tcPr>
            <w:tcW w:w="150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4"/>
                <w:szCs w:val="14"/>
                <w:color w:val="auto"/>
              </w:rPr>
              <w:t>December 31, 2024</w:t>
            </w:r>
          </w:p>
        </w:tc>
        <w:tc>
          <w:tcPr>
            <w:tcW w:w="1560" w:type="dxa"/>
            <w:vAlign w:val="bottom"/>
          </w:tcPr>
          <w:p>
            <w:pPr>
              <w:jc w:val="right"/>
              <w:ind w:right="149"/>
              <w:spacing w:after="0" w:line="140" w:lineRule="exact"/>
              <w:rPr>
                <w:sz w:val="20"/>
                <w:szCs w:val="20"/>
                <w:color w:val="auto"/>
              </w:rPr>
            </w:pPr>
            <w:r>
              <w:rPr>
                <w:rFonts w:ascii="Times New Roman" w:cs="Times New Roman" w:eastAsia="Times New Roman" w:hAnsi="Times New Roman"/>
                <w:sz w:val="14"/>
                <w:szCs w:val="14"/>
                <w:color w:val="auto"/>
              </w:rPr>
              <w:t>December 31,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84,402</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76,557</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Buildings and construction in progress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395,458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344,906</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123,901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120,096</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16,328</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(207,743)</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(201,159)</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premises and equipment, excluding ROU assets</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411,968</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356,728</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ROU assets, net</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56,252</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65,063</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premises and equipment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468,220</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421,791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capitalized interest related to assets of $618,000 and $913,000 for the years ended December 31, 2024 and December 31, 2023, respectively. The Company had $8,122,000, and $0 of premises held for sale at December 31, 2024 and December 31,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leases certain land, premises and equipment from third parties. ROU assets for operating and finance leases are included in net premises and equipment and lease liabilities are included in other liabilities and other borrowed funds, respectively, on the Company’s statements of financial condition. The following table summarizes the Company’s leases: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December 31, 2024</w:t>
            </w:r>
          </w:p>
        </w:tc>
        <w:tc>
          <w:tcPr>
            <w:tcW w:w="3120" w:type="dxa"/>
            <w:vAlign w:val="bottom"/>
            <w:gridSpan w:val="3"/>
          </w:tcPr>
          <w:p>
            <w:pPr>
              <w:jc w:val="right"/>
              <w:ind w:right="92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color w:val="auto"/>
              </w:rPr>
              <w:t>Finance</w:t>
            </w:r>
          </w:p>
        </w:tc>
        <w:tc>
          <w:tcPr>
            <w:tcW w:w="15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Operating</w:t>
            </w:r>
          </w:p>
        </w:tc>
        <w:tc>
          <w:tcPr>
            <w:tcW w:w="80" w:type="dxa"/>
            <w:vAlign w:val="bottom"/>
          </w:tcPr>
          <w:p>
            <w:pPr>
              <w:spacing w:after="0"/>
              <w:rPr>
                <w:sz w:val="11"/>
                <w:szCs w:val="11"/>
                <w:color w:val="auto"/>
              </w:rPr>
            </w:pPr>
          </w:p>
        </w:tc>
        <w:tc>
          <w:tcPr>
            <w:tcW w:w="160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Finance</w:t>
            </w:r>
          </w:p>
        </w:tc>
        <w:tc>
          <w:tcPr>
            <w:tcW w:w="1520" w:type="dxa"/>
            <w:vAlign w:val="bottom"/>
            <w:tcBorders>
              <w:top w:val="single" w:sz="8" w:color="auto"/>
            </w:tcBorders>
          </w:tcPr>
          <w:p>
            <w:pPr>
              <w:jc w:val="right"/>
              <w:ind w:right="409"/>
              <w:spacing w:after="0" w:line="129" w:lineRule="exact"/>
              <w:rPr>
                <w:sz w:val="20"/>
                <w:szCs w:val="20"/>
                <w:color w:val="auto"/>
              </w:rPr>
            </w:pPr>
            <w:r>
              <w:rPr>
                <w:rFonts w:ascii="Times New Roman" w:cs="Times New Roman" w:eastAsia="Times New Roman" w:hAnsi="Times New Roman"/>
                <w:sz w:val="14"/>
                <w:szCs w:val="14"/>
                <w:color w:val="auto"/>
              </w:rPr>
              <w:t>Operating</w:t>
            </w:r>
          </w:p>
        </w:tc>
      </w:tr>
      <w:tr>
        <w:trPr>
          <w:trHeight w:val="149"/>
        </w:trPr>
        <w:tc>
          <w:tcPr>
            <w:tcW w:w="20" w:type="dxa"/>
            <w:vAlign w:val="bottom"/>
          </w:tcPr>
          <w:p>
            <w:pPr>
              <w:spacing w:after="0"/>
              <w:rPr>
                <w:sz w:val="12"/>
                <w:szCs w:val="12"/>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9"/>
              </w:rPr>
              <w:t>Leases</w:t>
            </w:r>
          </w:p>
        </w:tc>
        <w:tc>
          <w:tcPr>
            <w:tcW w:w="1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Leases</w:t>
            </w:r>
          </w:p>
        </w:tc>
        <w:tc>
          <w:tcPr>
            <w:tcW w:w="1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Leases</w:t>
            </w:r>
          </w:p>
        </w:tc>
        <w:tc>
          <w:tcPr>
            <w:tcW w:w="1520" w:type="dxa"/>
            <w:vAlign w:val="bottom"/>
          </w:tcPr>
          <w:p>
            <w:pPr>
              <w:jc w:val="right"/>
              <w:ind w:right="489"/>
              <w:spacing w:after="0" w:line="149" w:lineRule="exact"/>
              <w:rPr>
                <w:sz w:val="20"/>
                <w:szCs w:val="20"/>
                <w:color w:val="auto"/>
              </w:rPr>
            </w:pPr>
            <w:r>
              <w:rPr>
                <w:rFonts w:ascii="Times New Roman" w:cs="Times New Roman" w:eastAsia="Times New Roman" w:hAnsi="Times New Roman"/>
                <w:sz w:val="14"/>
                <w:szCs w:val="14"/>
                <w:color w:val="auto"/>
              </w:rPr>
              <w:t>Leases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ROU assets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31,022</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31,222</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(11,056)</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(6,940)</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ROU assets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19,966</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36,286</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24,282</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40,781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2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21,279</w:t>
            </w:r>
          </w:p>
        </w:tc>
        <w:tc>
          <w:tcPr>
            <w:tcW w:w="100" w:type="dxa"/>
            <w:vAlign w:val="bottom"/>
          </w:tcPr>
          <w:p>
            <w:pPr>
              <w:spacing w:after="0"/>
              <w:rPr>
                <w:sz w:val="12"/>
                <w:szCs w:val="12"/>
                <w:color w:val="auto"/>
              </w:rPr>
            </w:pPr>
          </w:p>
        </w:tc>
        <w:tc>
          <w:tcPr>
            <w:tcW w:w="152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39,902</w:t>
            </w:r>
          </w:p>
        </w:tc>
        <w:tc>
          <w:tcPr>
            <w:tcW w:w="80" w:type="dxa"/>
            <w:vAlign w:val="bottom"/>
          </w:tcPr>
          <w:p>
            <w:pPr>
              <w:spacing w:after="0"/>
              <w:rPr>
                <w:sz w:val="12"/>
                <w:szCs w:val="12"/>
                <w:color w:val="auto"/>
              </w:rPr>
            </w:pPr>
          </w:p>
        </w:tc>
        <w:tc>
          <w:tcPr>
            <w:tcW w:w="152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25,116</w:t>
            </w:r>
          </w:p>
        </w:tc>
        <w:tc>
          <w:tcPr>
            <w:tcW w:w="80" w:type="dxa"/>
            <w:vAlign w:val="bottom"/>
          </w:tcPr>
          <w:p>
            <w:pPr>
              <w:spacing w:after="0"/>
              <w:rPr>
                <w:sz w:val="12"/>
                <w:szCs w:val="12"/>
                <w:color w:val="auto"/>
              </w:rPr>
            </w:pPr>
          </w:p>
        </w:tc>
        <w:tc>
          <w:tcPr>
            <w:tcW w:w="152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rPr>
              <w:t>44,319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years</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years</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years</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years</w:t>
            </w:r>
          </w:p>
        </w:tc>
      </w:tr>
      <w:tr>
        <w:trPr>
          <w:trHeight w:val="184"/>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6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Maturities of lease liabilities consist of the following: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8"/>
          </w:tcPr>
          <w:p>
            <w:pPr>
              <w:jc w:val="right"/>
              <w:ind w:right="969"/>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340"/>
              <w:spacing w:after="0" w:line="129" w:lineRule="exact"/>
              <w:rPr>
                <w:sz w:val="20"/>
                <w:szCs w:val="20"/>
                <w:color w:val="auto"/>
              </w:rPr>
            </w:pPr>
            <w:r>
              <w:rPr>
                <w:rFonts w:ascii="Times New Roman" w:cs="Times New Roman" w:eastAsia="Times New Roman" w:hAnsi="Times New Roman"/>
                <w:sz w:val="14"/>
                <w:szCs w:val="14"/>
                <w:color w:val="auto"/>
              </w:rPr>
              <w:t>Finance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429"/>
              <w:spacing w:after="0" w:line="129" w:lineRule="exact"/>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within one year</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Maturing one year through two years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two years through three years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Maturing three years through four years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four years through five years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33,608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lease payments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25,763</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2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Long-term</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36,657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present value of lease payments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21,279</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Difference between lease payments and present value of lease payments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14,695</w:t>
            </w:r>
          </w:p>
        </w:tc>
        <w:tc>
          <w:tcPr>
            <w:tcW w:w="0" w:type="dxa"/>
            <w:vAlign w:val="bottom"/>
          </w:tcPr>
          <w:p>
            <w:pPr>
              <w:spacing w:after="0"/>
              <w:rPr>
                <w:sz w:val="1"/>
                <w:szCs w:val="1"/>
                <w:color w:val="auto"/>
              </w:rPr>
            </w:pPr>
          </w:p>
        </w:tc>
      </w:tr>
      <w:tr>
        <w:trPr>
          <w:trHeight w:val="20"/>
        </w:trPr>
        <w:tc>
          <w:tcPr>
            <w:tcW w:w="7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The components of lease expense included in other expense on the consolidated statements of operations consist of the following:</w:t>
            </w: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560" w:type="dxa"/>
            <w:vAlign w:val="bottom"/>
            <w:gridSpan w:val="6"/>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color w:val="auto"/>
                <w:w w:val="96"/>
              </w:rPr>
              <w:t>Year ended</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9"/>
          </w:tcPr>
          <w:p>
            <w:pPr>
              <w:ind w:left="34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18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cost</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Amortization of ROU assets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lease expense</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12,555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12,950</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w:t>
            </w: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2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Year ended</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7"/>
          </w:tcPr>
          <w:p>
            <w:pPr>
              <w:jc w:val="right"/>
              <w:ind w:right="1029"/>
              <w:spacing w:after="0"/>
              <w:rPr>
                <w:sz w:val="20"/>
                <w:szCs w:val="20"/>
                <w:color w:val="auto"/>
              </w:rPr>
            </w:pPr>
            <w:r>
              <w:rPr>
                <w:rFonts w:ascii="Times New Roman" w:cs="Times New Roman" w:eastAsia="Times New Roman" w:hAnsi="Times New Roman"/>
                <w:sz w:val="14"/>
                <w:szCs w:val="14"/>
                <w:color w:val="auto"/>
              </w:rPr>
              <w:t>December 31, 2024</w:t>
            </w:r>
          </w:p>
        </w:tc>
        <w:tc>
          <w:tcPr>
            <w:tcW w:w="2120" w:type="dxa"/>
            <w:vAlign w:val="bottom"/>
            <w:gridSpan w:val="7"/>
          </w:tcPr>
          <w:p>
            <w:pPr>
              <w:jc w:val="right"/>
              <w:ind w:right="58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color w:val="auto"/>
                <w:w w:val="99"/>
              </w:rPr>
              <w:t>Finance</w:t>
            </w:r>
          </w:p>
        </w:tc>
        <w:tc>
          <w:tcPr>
            <w:tcW w:w="1180" w:type="dxa"/>
            <w:vAlign w:val="bottom"/>
            <w:tcBorders>
              <w:top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4"/>
                <w:szCs w:val="14"/>
                <w:color w:val="auto"/>
              </w:rPr>
              <w:t>Operating</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6"/>
          </w:tcPr>
          <w:p>
            <w:pPr>
              <w:jc w:val="center"/>
              <w:ind w:right="420"/>
              <w:spacing w:after="0" w:line="135" w:lineRule="exact"/>
              <w:rPr>
                <w:sz w:val="20"/>
                <w:szCs w:val="20"/>
                <w:color w:val="auto"/>
              </w:rPr>
            </w:pPr>
            <w:r>
              <w:rPr>
                <w:rFonts w:ascii="Times New Roman" w:cs="Times New Roman" w:eastAsia="Times New Roman" w:hAnsi="Times New Roman"/>
                <w:sz w:val="14"/>
                <w:szCs w:val="14"/>
                <w:color w:val="auto"/>
                <w:w w:val="99"/>
              </w:rPr>
              <w:t>Finance</w:t>
            </w:r>
          </w:p>
        </w:tc>
        <w:tc>
          <w:tcPr>
            <w:tcW w:w="1180" w:type="dxa"/>
            <w:vAlign w:val="bottom"/>
            <w:tcBorders>
              <w:top w:val="single" w:sz="8" w:color="auto"/>
            </w:tcBorders>
          </w:tcPr>
          <w:p>
            <w:pPr>
              <w:ind w:left="320"/>
              <w:spacing w:after="0" w:line="135" w:lineRule="exact"/>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0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4"/>
                <w:szCs w:val="14"/>
                <w:color w:val="auto"/>
                <w:w w:val="99"/>
              </w:rPr>
              <w:t>Leases</w:t>
            </w:r>
          </w:p>
        </w:tc>
        <w:tc>
          <w:tcPr>
            <w:tcW w:w="1600" w:type="dxa"/>
            <w:vAlign w:val="bottom"/>
            <w:gridSpan w:val="5"/>
          </w:tcPr>
          <w:p>
            <w:pPr>
              <w:jc w:val="center"/>
              <w:ind w:right="349"/>
              <w:spacing w:after="0" w:line="122" w:lineRule="exact"/>
              <w:rPr>
                <w:sz w:val="20"/>
                <w:szCs w:val="20"/>
                <w:color w:val="auto"/>
              </w:rPr>
            </w:pPr>
            <w:r>
              <w:rPr>
                <w:rFonts w:ascii="Times New Roman" w:cs="Times New Roman" w:eastAsia="Times New Roman" w:hAnsi="Times New Roman"/>
                <w:sz w:val="14"/>
                <w:szCs w:val="14"/>
                <w:color w:val="auto"/>
                <w:w w:val="99"/>
              </w:rPr>
              <w:t>Leases</w:t>
            </w:r>
          </w:p>
        </w:tc>
        <w:tc>
          <w:tcPr>
            <w:tcW w:w="940" w:type="dxa"/>
            <w:vAlign w:val="bottom"/>
            <w:gridSpan w:val="6"/>
          </w:tcPr>
          <w:p>
            <w:pPr>
              <w:jc w:val="center"/>
              <w:ind w:right="420"/>
              <w:spacing w:after="0" w:line="122" w:lineRule="exact"/>
              <w:rPr>
                <w:sz w:val="20"/>
                <w:szCs w:val="20"/>
                <w:color w:val="auto"/>
              </w:rPr>
            </w:pPr>
            <w:r>
              <w:rPr>
                <w:rFonts w:ascii="Times New Roman" w:cs="Times New Roman" w:eastAsia="Times New Roman" w:hAnsi="Times New Roman"/>
                <w:sz w:val="14"/>
                <w:szCs w:val="14"/>
                <w:color w:val="auto"/>
              </w:rPr>
              <w:t>Leases</w:t>
            </w:r>
          </w:p>
        </w:tc>
        <w:tc>
          <w:tcPr>
            <w:tcW w:w="1180" w:type="dxa"/>
            <w:vAlign w:val="bottom"/>
          </w:tcPr>
          <w:p>
            <w:pPr>
              <w:jc w:val="right"/>
              <w:ind w:right="329"/>
              <w:spacing w:after="0" w:line="122" w:lineRule="exact"/>
              <w:rPr>
                <w:sz w:val="20"/>
                <w:szCs w:val="20"/>
                <w:color w:val="auto"/>
              </w:rPr>
            </w:pPr>
            <w:r>
              <w:rPr>
                <w:rFonts w:ascii="Times New Roman" w:cs="Times New Roman" w:eastAsia="Times New Roman" w:hAnsi="Times New Roman"/>
                <w:sz w:val="14"/>
                <w:szCs w:val="14"/>
                <w:color w:val="auto"/>
              </w:rPr>
              <w:t>Leases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cash flows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Financing cash flows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3,588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 - Not applicable</w:t>
      </w:r>
    </w:p>
    <w:p>
      <w:pPr>
        <w:spacing w:after="0" w:line="18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leases office space to third parties through operating leases. Rent income from these leases for the year ended December 31, 2024 and 2023 was $1,592,000 and $1,298,000, respectively, and is recorded in other income within non-interest income.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6"/>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5. Other Intangible Assets and Goodwill</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the Company’s core deposit intangibles and other intangibles: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At or for the Years ended</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120,912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Accumulated amortization</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(69,730)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(63,250)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(53,519)</w:t>
            </w: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carrying value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51,182</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Aggregate amortization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200" w:type="dxa"/>
            <w:vAlign w:val="bottom"/>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12,757</w:t>
            </w:r>
          </w:p>
        </w:tc>
        <w:tc>
          <w:tcPr>
            <w:tcW w:w="8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9,731</w:t>
            </w:r>
          </w:p>
        </w:tc>
        <w:tc>
          <w:tcPr>
            <w:tcW w:w="10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10,658</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Estimated amortization expense for the years ending December 31,</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56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12,941</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2026</w:t>
            </w:r>
          </w:p>
        </w:tc>
        <w:tc>
          <w:tcPr>
            <w:tcW w:w="5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2027</w:t>
            </w:r>
          </w:p>
        </w:tc>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2028</w:t>
            </w:r>
          </w:p>
        </w:tc>
        <w:tc>
          <w:tcPr>
            <w:tcW w:w="5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2029</w:t>
            </w: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schedule discloses the changes in the carrying value of goodwill:</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Years ended</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carrying value at beginning of period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985,393</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 and adjustments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65,925</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66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carrying value at end of period</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evaluates goodwill for possible impairment utilizing a control premium analysis. The analysis first calculates the market capitalization and then adjusts such value for a control premium range which results in an implied fair value. The control premium range is determined based on historical control premiums for acquisitions that are comparable to the Company and is obtained from an independent third party. The calculated implied fair value is then compared to the book value to determine whether a goodwill impairment will be recognized and the amount of the impairment. The Company performed its annual goodwill impairment test during the third quarter of 2024 and determined the fair value of the aggregated reporting units exceeded the carrying value, such that the Company’s goodwill was not considered impaired. In recognition, there were no events or circumstances that occurred during the fourth quarter of 2024 that would more-likely-than-not reduce the fair value of a reporting unit below its carrying value, the Company did not perform interim testing at December 31, 2024. Changes in the economic environment, operations of the aggregated reporting units, or other factors could result in the decline in the fair value of the aggregated reporting units which could result in a goodwill impairment in the future. Accumulated impairment charges were $40,159,000 as of December 31, 2024 and 2023.</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Note 6. Loan Servicing</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Mortgage loans that are serviced for others are not reported as assets, only the servicing rights are recorded and included in other assets. The following schedules disclose the change in the carrying value of mortgage servicing rights that is included in other assets, principal balances of loans serviced and the fair value of mortgage servicing rights: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Years ended</w:t>
            </w:r>
          </w:p>
        </w:tc>
        <w:tc>
          <w:tcPr>
            <w:tcW w:w="14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Carrying value at beginning of period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12,839</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Additions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171"/>
        </w:trPr>
        <w:tc>
          <w:tcPr>
            <w:tcW w:w="20" w:type="dxa"/>
            <w:vAlign w:val="bottom"/>
          </w:tcPr>
          <w:p>
            <w:pPr>
              <w:spacing w:after="0"/>
              <w:rPr>
                <w:sz w:val="14"/>
                <w:szCs w:val="14"/>
                <w:color w:val="auto"/>
              </w:rPr>
            </w:pPr>
          </w:p>
        </w:tc>
        <w:tc>
          <w:tcPr>
            <w:tcW w:w="6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Carrying value at end of period</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11,958</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balances of loans serviced for others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1,507,439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1,570,834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1,661,294</w:t>
            </w:r>
          </w:p>
        </w:tc>
      </w:tr>
      <w:tr>
        <w:trPr>
          <w:trHeight w:val="184"/>
        </w:trPr>
        <w:tc>
          <w:tcPr>
            <w:tcW w:w="20" w:type="dxa"/>
            <w:vAlign w:val="bottom"/>
          </w:tcPr>
          <w:p>
            <w:pPr>
              <w:spacing w:after="0"/>
              <w:rPr>
                <w:sz w:val="16"/>
                <w:szCs w:val="16"/>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of servicing rights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17,902</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19,716</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Variable Interest Entities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Consolidated Variable Interest Entities</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 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consolidated financial statements. The primary activities of the CDEs are recognized in commercial loans interest income and other borrowed funds interest expense on the Company’s consolidated statements of operations and the federal income tax credit allocations from the investments are recognized in the Company’s consolidated statements of operations as a component of income tax expense. Such related cash flows are recognized in loans originated, principal collected on loans and change in other borrowed funds.</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96" w:name="page97"/>
    <w:bookmarkEnd w:id="96"/>
    <w:p>
      <w:pPr>
        <w:jc w:val="both"/>
        <w:spacing w:after="0" w:line="268" w:lineRule="auto"/>
        <w:rPr>
          <w:sz w:val="20"/>
          <w:szCs w:val="20"/>
          <w:color w:val="auto"/>
        </w:rPr>
      </w:pPr>
      <w:r>
        <w:rPr>
          <w:rFonts w:ascii="Times New Roman" w:cs="Times New Roman" w:eastAsia="Times New Roman" w:hAnsi="Times New Roman"/>
          <w:sz w:val="14"/>
          <w:szCs w:val="14"/>
          <w:color w:val="auto"/>
        </w:rPr>
        <w:t>The following table summarizes the carrying amounts of the consolidated VIEs’ assets and liabilities included in the Company’s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60"/>
              <w:spacing w:after="0" w:line="144"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tcPr>
          <w:p>
            <w:pPr>
              <w:jc w:val="right"/>
              <w:ind w:right="309"/>
              <w:spacing w:after="0" w:line="144"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Loans receivable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136,527</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79,858</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48,924</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202,922</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0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borrowed funds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56,578</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27,577</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89,909</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Unconsolidated Variable Interest Entities</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has equity investments in LIHTC partnerships, both directly and through tax credit funds, with carrying values of $203,124,000 and $83,962,000 as of December 31, 2024 and 2023,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statements of financial condition and any unfunded equity commitments in other liabilities. There were no impairment losses on the Company’s LIHTC investments during the years ended December 31, 2024, 2023 and 2022. Future unfunded contingent equity commitments related to the Company’s LIHTC investments at December 31, 2024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5"/>
                <w:szCs w:val="15"/>
                <w:color w:val="auto"/>
              </w:rPr>
            </w:pPr>
          </w:p>
        </w:tc>
        <w:tc>
          <w:tcPr>
            <w:tcW w:w="12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Amount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 ending December 31,</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87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59,511</w:t>
            </w:r>
          </w:p>
        </w:tc>
      </w:tr>
      <w:tr>
        <w:trPr>
          <w:trHeight w:val="180"/>
        </w:trPr>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23,523</w:t>
            </w: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w:t>
            </w:r>
          </w:p>
        </w:tc>
      </w:tr>
      <w:tr>
        <w:trPr>
          <w:trHeight w:val="180"/>
        </w:trPr>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80"/>
        </w:trPr>
        <w:tc>
          <w:tcPr>
            <w:tcW w:w="20" w:type="dxa"/>
            <w:vAlign w:val="bottom"/>
            <w:shd w:val="clear" w:color="auto" w:fill="CCEEFF"/>
          </w:tcPr>
          <w:p>
            <w:pPr>
              <w:spacing w:after="0"/>
              <w:rPr>
                <w:sz w:val="15"/>
                <w:szCs w:val="15"/>
                <w:color w:val="auto"/>
              </w:rPr>
            </w:pPr>
          </w:p>
        </w:tc>
        <w:tc>
          <w:tcPr>
            <w:tcW w:w="9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r>
      <w:tr>
        <w:trPr>
          <w:trHeight w:val="171"/>
        </w:trPr>
        <w:tc>
          <w:tcPr>
            <w:tcW w:w="20" w:type="dxa"/>
            <w:vAlign w:val="bottom"/>
          </w:tcPr>
          <w:p>
            <w:pPr>
              <w:spacing w:after="0"/>
              <w:rPr>
                <w:sz w:val="14"/>
                <w:szCs w:val="14"/>
                <w:color w:val="auto"/>
              </w:rPr>
            </w:pPr>
          </w:p>
        </w:tc>
        <w:tc>
          <w:tcPr>
            <w:tcW w:w="9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93,729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has elected to use the proportional amortization method, and more specifically, the practical expedient method, for the amortization of all eligible LIHTC investments and amortization expense is recognized as a component of income tax expense. The following table summarizes the amortization expense and the amount of tax credits and other tax benefits recognized for qualified affordable housing project investments during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Years ended</w:t>
            </w:r>
          </w:p>
        </w:tc>
        <w:tc>
          <w:tcPr>
            <w:tcW w:w="1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right"/>
              <w:ind w:right="329"/>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4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December 31, 2024</w:t>
            </w:r>
          </w:p>
        </w:tc>
        <w:tc>
          <w:tcPr>
            <w:tcW w:w="1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December 31, 2023</w:t>
            </w:r>
          </w:p>
        </w:tc>
        <w:tc>
          <w:tcPr>
            <w:tcW w:w="1560" w:type="dxa"/>
            <w:vAlign w:val="bottom"/>
          </w:tcPr>
          <w:p>
            <w:pPr>
              <w:jc w:val="right"/>
              <w:ind w:right="569"/>
              <w:spacing w:after="0" w:line="12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2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19,076</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15,178</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11,360</w:t>
            </w: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credits and other tax benefits recognized</w:t>
            </w: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25,405</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19,908</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20" w:type="dxa"/>
            <w:vAlign w:val="bottom"/>
          </w:tcPr>
          <w:p>
            <w:pPr>
              <w:spacing w:after="0"/>
              <w:rPr>
                <w:sz w:val="16"/>
                <w:szCs w:val="16"/>
                <w:color w:val="auto"/>
              </w:rPr>
            </w:pPr>
          </w:p>
        </w:tc>
      </w:tr>
      <w:tr>
        <w:trPr>
          <w:trHeight w:val="77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4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also owns the following trust subsidiaries, each of which issued trust preferred securities as capital instruments: Glacier Capital Trust II, Glacier Capital Trust III, Glacier Capital Trust IV, Citizens (ID) Statutory Trust I, Bank of the San Juans Bancorporation Trust I, First Company Statutory Trust 2001, First Company Statutory Trust 2003, FNB (UT) Statutory Trust I and FNB (UT) Statutory Trust II.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statements of financial condition. For additional information on the Company’s investments in trust subsidiaries, see Note 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Deposits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Time deposits that meet or exceed the Federal Deposit Insurance Corporation Insurance (“FDIC”) limit of $250,000 at December 31, 2024 and 2023 were $1,089,163,000 and $1,227,607,000,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scheduled maturities of time deposits are as follows and includes $0 of wholesale deposits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5"/>
                <w:szCs w:val="15"/>
                <w:color w:val="auto"/>
              </w:rPr>
            </w:pPr>
          </w:p>
        </w:tc>
        <w:tc>
          <w:tcPr>
            <w:tcW w:w="12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Amount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 ending December 31,</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87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3,026,351</w:t>
            </w:r>
          </w:p>
        </w:tc>
      </w:tr>
      <w:tr>
        <w:trPr>
          <w:trHeight w:val="180"/>
        </w:trPr>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62,428</w:t>
            </w: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24,464</w:t>
            </w:r>
          </w:p>
        </w:tc>
      </w:tr>
      <w:tr>
        <w:trPr>
          <w:trHeight w:val="180"/>
        </w:trPr>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11,845</w:t>
            </w:r>
          </w:p>
        </w:tc>
      </w:tr>
      <w:tr>
        <w:trPr>
          <w:trHeight w:val="180"/>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w:t>
            </w:r>
          </w:p>
        </w:tc>
      </w:tr>
      <w:tr>
        <w:trPr>
          <w:trHeight w:val="180"/>
        </w:trPr>
        <w:tc>
          <w:tcPr>
            <w:tcW w:w="20" w:type="dxa"/>
            <w:vAlign w:val="bottom"/>
            <w:shd w:val="clear" w:color="auto" w:fill="CCEEFF"/>
          </w:tcPr>
          <w:p>
            <w:pPr>
              <w:spacing w:after="0"/>
              <w:rPr>
                <w:sz w:val="15"/>
                <w:szCs w:val="15"/>
                <w:color w:val="auto"/>
              </w:rPr>
            </w:pPr>
          </w:p>
        </w:tc>
        <w:tc>
          <w:tcPr>
            <w:tcW w:w="9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3,139,821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reclassified $11,694,000 and $8,242,000 of overdraft demand deposits to loans as of December 31, 2024 and 2023, respectively. The Company has entered into deposit transactions with its executive officers, directors and their affiliates. The aggregate amount of deposits with such related parties at December 31, 2024 and 2023 was $30,403,000 and $31,706,000,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Borrowings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securities sold under agreements to repurchase totaled $1,777,475,000 and $1,486,850,000 at December 31, 2024 and 2023, respectively, and are secured by debt securities with carrying values of $2,184,627,000 and $1,800,829,000,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 The following tables summarize the carrying value of the Company’s repurchase agreements by remaining contractual maturity and category of collateral:</w:t>
      </w:r>
    </w:p>
    <w:p>
      <w:pPr>
        <w:sectPr>
          <w:pgSz w:w="11900" w:h="16838" w:orient="portrait"/>
          <w:cols w:equalWidth="0" w:num="1">
            <w:col w:w="11280"/>
          </w:cols>
          <w:pgMar w:left="300" w:top="634" w:right="3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u w:val="single" w:color="auto"/>
          <w:color w:val="auto"/>
        </w:rPr>
        <w:t>(Dollars 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U.S. government and federal agency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p>
      <w:pPr>
        <w:spacing w:after="0" w:line="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December 31, 2024</w:t>
            </w:r>
          </w:p>
        </w:tc>
        <w:tc>
          <w:tcPr>
            <w:tcW w:w="18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1"/>
        </w:trPr>
        <w:tc>
          <w:tcPr>
            <w:tcW w:w="2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color w:val="auto"/>
              </w:rPr>
              <w:t>Remaining Contractual Maturity of the Agreements</w:t>
            </w:r>
          </w:p>
        </w:tc>
      </w:tr>
      <w:tr>
        <w:trPr>
          <w:trHeight w:val="171"/>
        </w:trPr>
        <w:tc>
          <w:tcPr>
            <w:tcW w:w="2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3"/>
          </w:tcPr>
          <w:p>
            <w:pPr>
              <w:jc w:val="right"/>
              <w:ind w:right="1089"/>
              <w:spacing w:after="0"/>
              <w:rPr>
                <w:sz w:val="20"/>
                <w:szCs w:val="20"/>
                <w:color w:val="auto"/>
              </w:rPr>
            </w:pPr>
            <w:r>
              <w:rPr>
                <w:rFonts w:ascii="Times New Roman" w:cs="Times New Roman" w:eastAsia="Times New Roman" w:hAnsi="Times New Roman"/>
                <w:sz w:val="14"/>
                <w:szCs w:val="14"/>
                <w:color w:val="auto"/>
              </w:rPr>
              <w:t>Overnight and Continuous</w:t>
            </w:r>
          </w:p>
        </w:tc>
      </w:tr>
      <w:tr>
        <w:trPr>
          <w:trHeight w:val="167"/>
        </w:trPr>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113,509</w:t>
            </w:r>
          </w:p>
        </w:tc>
      </w:tr>
      <w:tr>
        <w:trPr>
          <w:trHeight w:val="180"/>
        </w:trPr>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1,777,475</w:t>
            </w:r>
          </w:p>
        </w:tc>
        <w:tc>
          <w:tcPr>
            <w:tcW w:w="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1,306,047</w:t>
            </w:r>
          </w:p>
        </w:tc>
      </w:tr>
      <w:tr>
        <w:trPr>
          <w:trHeight w:val="184"/>
        </w:trPr>
        <w:tc>
          <w:tcPr>
            <w:tcW w:w="220" w:type="dxa"/>
            <w:vAlign w:val="bottom"/>
          </w:tcPr>
          <w:p>
            <w:pPr>
              <w:spacing w:after="0"/>
              <w:rPr>
                <w:sz w:val="16"/>
                <w:szCs w:val="16"/>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67,294</w:t>
            </w:r>
          </w:p>
        </w:tc>
      </w:tr>
      <w:tr>
        <w:trPr>
          <w:trHeight w:val="171"/>
        </w:trPr>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1,777,475</w:t>
            </w:r>
          </w:p>
        </w:tc>
        <w:tc>
          <w:tcPr>
            <w:tcW w:w="60" w:type="dxa"/>
            <w:vAlign w:val="bottom"/>
          </w:tcPr>
          <w:p>
            <w:pPr>
              <w:spacing w:after="0"/>
              <w:rPr>
                <w:sz w:val="14"/>
                <w:szCs w:val="14"/>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1,486,850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-497840</wp:posOffset>
            </wp:positionV>
            <wp:extent cx="7161530" cy="121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-262255</wp:posOffset>
            </wp:positionV>
            <wp:extent cx="7161530" cy="114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0" w:space="720"/>
            <w:col w:w="3820"/>
          </w:cols>
          <w:pgMar w:left="300" w:top="634" w:right="31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FHLB advances are collateralized by specifically pledged loans and debt securities, FHLB stock owned by the Company, and a blanket assignment of the unpledged qualifying loans and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scheduled maturities of FHLB advances consist of the following:</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2"/>
          </w:tcPr>
          <w:p>
            <w:pPr>
              <w:jc w:val="center"/>
              <w:ind w:left="789"/>
              <w:spacing w:after="0"/>
              <w:rPr>
                <w:sz w:val="20"/>
                <w:szCs w:val="20"/>
                <w:color w:val="auto"/>
              </w:rPr>
            </w:pPr>
            <w:r>
              <w:rPr>
                <w:rFonts w:ascii="Times New Roman" w:cs="Times New Roman" w:eastAsia="Times New Roman" w:hAnsi="Times New Roman"/>
                <w:sz w:val="14"/>
                <w:szCs w:val="14"/>
                <w:color w:val="auto"/>
                <w:w w:val="99"/>
              </w:rPr>
              <w:t>December 31,</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December 31,</w:t>
            </w:r>
          </w:p>
        </w:tc>
        <w:tc>
          <w:tcPr>
            <w:tcW w:w="1160" w:type="dxa"/>
            <w:vAlign w:val="bottom"/>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4"/>
                <w:szCs w:val="14"/>
                <w:color w:val="auto"/>
              </w:rPr>
              <w:t>2023</w:t>
            </w:r>
          </w:p>
        </w:tc>
        <w:tc>
          <w:tcPr>
            <w:tcW w:w="1160" w:type="dxa"/>
            <w:vAlign w:val="bottom"/>
            <w:tcBorders>
              <w:bottom w:val="single" w:sz="8" w:color="auto"/>
            </w:tcBorders>
          </w:tcPr>
          <w:p>
            <w:pPr>
              <w:spacing w:after="0"/>
              <w:rPr>
                <w:sz w:val="16"/>
                <w:szCs w:val="16"/>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w w:val="99"/>
              </w:rPr>
              <w:t>Weighted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Times New Roman" w:cs="Times New Roman" w:eastAsia="Times New Roman" w:hAnsi="Times New Roman"/>
                <w:sz w:val="14"/>
                <w:szCs w:val="14"/>
                <w:color w:val="auto"/>
              </w:rPr>
              <w:t>Weighted</w:t>
            </w:r>
          </w:p>
        </w:tc>
      </w:tr>
      <w:tr>
        <w:trPr>
          <w:trHeight w:val="149"/>
        </w:trPr>
        <w:tc>
          <w:tcPr>
            <w:tcW w:w="20" w:type="dxa"/>
            <w:vAlign w:val="bottom"/>
          </w:tcPr>
          <w:p>
            <w:pPr>
              <w:spacing w:after="0"/>
              <w:rPr>
                <w:sz w:val="12"/>
                <w:szCs w:val="12"/>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00" w:type="dxa"/>
            <w:vAlign w:val="bottom"/>
          </w:tcPr>
          <w:p>
            <w:pPr>
              <w:spacing w:after="0"/>
              <w:rPr>
                <w:sz w:val="12"/>
                <w:szCs w:val="12"/>
                <w:color w:val="auto"/>
              </w:rPr>
            </w:pPr>
          </w:p>
        </w:tc>
        <w:tc>
          <w:tcPr>
            <w:tcW w:w="180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color w:val="auto"/>
              </w:rPr>
              <w:t>Amount</w:t>
            </w: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Rate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Amount</w:t>
            </w:r>
          </w:p>
        </w:tc>
        <w:tc>
          <w:tcPr>
            <w:tcW w:w="116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Rate</w:t>
            </w:r>
          </w:p>
        </w:tc>
      </w:tr>
      <w:tr>
        <w:trPr>
          <w:trHeight w:val="22"/>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within one year</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1,360,000</w:t>
            </w: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Maturing one year through two years</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two years through three years</w:t>
            </w:r>
          </w:p>
        </w:tc>
        <w:tc>
          <w:tcPr>
            <w:tcW w:w="3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Maturing three years through four years</w:t>
            </w:r>
          </w:p>
        </w:tc>
        <w:tc>
          <w:tcPr>
            <w:tcW w:w="300" w:type="dxa"/>
            <w:vAlign w:val="bottom"/>
          </w:tcPr>
          <w:p>
            <w:pPr>
              <w:spacing w:after="0"/>
              <w:rPr>
                <w:sz w:val="15"/>
                <w:szCs w:val="15"/>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5"/>
                <w:szCs w:val="15"/>
                <w:color w:val="auto"/>
              </w:rPr>
            </w:pPr>
          </w:p>
        </w:tc>
        <w:tc>
          <w:tcPr>
            <w:tcW w:w="18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Maturing four years through five years</w:t>
            </w:r>
          </w:p>
        </w:tc>
        <w:tc>
          <w:tcPr>
            <w:tcW w:w="3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Pr>
          <w:p>
            <w:pPr>
              <w:spacing w:after="0"/>
              <w:rPr>
                <w:sz w:val="15"/>
                <w:szCs w:val="15"/>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5"/>
                <w:szCs w:val="15"/>
                <w:color w:val="auto"/>
              </w:rPr>
            </w:pPr>
          </w:p>
        </w:tc>
        <w:tc>
          <w:tcPr>
            <w:tcW w:w="18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 %</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2023, the Company had $2,740,000,000 in FRB term borrowings that matured in March 2024. The FRB term borrowing was collateralized by debt securities and had a fixed rate of 4.38%.</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other borrowed funds consisted of finance lease liabilities and other debt obligations through consolidation of certain VIEs. At December 31, 2024, the Company had $525,000,000 in unsecured lines of credit which are typically renewed on an annual basis with various correspondent entities.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entered into borrowing transactions with its related parties in connection with the certain variable interest entities. The aggregate amount of borrowings with such related parties was $10,251,000 at December 31, 2024 and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Subordinated Debentures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Company’s</w:t>
            </w:r>
          </w:p>
        </w:tc>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w:t>
            </w: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debentures</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are</w:t>
            </w: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reflected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table</w:t>
            </w:r>
          </w:p>
        </w:tc>
        <w:tc>
          <w:tcPr>
            <w:tcW w:w="1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below.</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amounts</w:t>
            </w: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include</w:t>
            </w: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fair</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from</w:t>
            </w: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acquisitions.</w:t>
            </w: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w w:val="98"/>
              </w:rPr>
              <w:t>December 31, 2024</w:t>
            </w: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Maturity</w:t>
            </w:r>
          </w:p>
        </w:tc>
      </w:tr>
      <w:tr>
        <w:trPr>
          <w:trHeight w:val="150"/>
        </w:trPr>
        <w:tc>
          <w:tcPr>
            <w:tcW w:w="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right"/>
              <w:ind w:right="369"/>
              <w:spacing w:after="0" w:line="139" w:lineRule="exact"/>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 xml:space="preserve">Rate </w:t>
            </w:r>
            <w:r>
              <w:rPr>
                <w:rFonts w:ascii="Times New Roman" w:cs="Times New Roman" w:eastAsia="Times New Roman" w:hAnsi="Times New Roman"/>
                <w:sz w:val="16"/>
                <w:szCs w:val="16"/>
                <w:color w:val="auto"/>
                <w:vertAlign w:val="superscript"/>
              </w:rPr>
              <w:t>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gridSpan w:val="2"/>
          </w:tcPr>
          <w:p>
            <w:pPr>
              <w:jc w:val="center"/>
              <w:ind w:right="9"/>
              <w:spacing w:after="0" w:line="130" w:lineRule="exact"/>
              <w:rPr>
                <w:sz w:val="20"/>
                <w:szCs w:val="20"/>
                <w:color w:val="auto"/>
              </w:rPr>
            </w:pPr>
            <w:r>
              <w:rPr>
                <w:rFonts w:ascii="Times New Roman" w:cs="Times New Roman" w:eastAsia="Times New Roman" w:hAnsi="Times New Roman"/>
                <w:sz w:val="14"/>
                <w:szCs w:val="14"/>
                <w:color w:val="auto"/>
                <w:w w:val="99"/>
              </w:rPr>
              <w:t>Rate Structure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center"/>
              <w:ind w:right="469"/>
              <w:spacing w:after="0" w:line="130" w:lineRule="exact"/>
              <w:rPr>
                <w:sz w:val="20"/>
                <w:szCs w:val="20"/>
                <w:color w:val="auto"/>
              </w:rPr>
            </w:pPr>
            <w:r>
              <w:rPr>
                <w:rFonts w:ascii="Times New Roman" w:cs="Times New Roman" w:eastAsia="Times New Roman" w:hAnsi="Times New Roman"/>
                <w:sz w:val="14"/>
                <w:szCs w:val="14"/>
                <w:color w:val="auto"/>
              </w:rPr>
              <w:t>Date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debentures owed to trust subsidiaries</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First Company Statutory Trust 2001</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3.30%</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07/31/2031</w:t>
            </w:r>
          </w:p>
        </w:tc>
      </w:tr>
      <w:tr>
        <w:trPr>
          <w:trHeight w:val="180"/>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First Company Statutory Trust 2003</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60" w:type="dxa"/>
            <w:vAlign w:val="bottom"/>
            <w:gridSpan w:val="5"/>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3.25%</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03/26/2033</w:t>
            </w:r>
          </w:p>
        </w:tc>
      </w:tr>
      <w:tr>
        <w:trPr>
          <w:trHeight w:val="180"/>
        </w:trPr>
        <w:tc>
          <w:tcPr>
            <w:tcW w:w="20" w:type="dxa"/>
            <w:vAlign w:val="bottom"/>
          </w:tcPr>
          <w:p>
            <w:pPr>
              <w:spacing w:after="0"/>
              <w:rPr>
                <w:sz w:val="15"/>
                <w:szCs w:val="15"/>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Glacier Capital Trust II</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2.75%</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04/07/2034</w:t>
            </w:r>
          </w:p>
        </w:tc>
      </w:tr>
      <w:tr>
        <w:trPr>
          <w:trHeight w:val="180"/>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Citizens (ID) Statutory Trust I</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60" w:type="dxa"/>
            <w:vAlign w:val="bottom"/>
            <w:gridSpan w:val="5"/>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2.65%</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06/17/2034</w:t>
            </w:r>
          </w:p>
        </w:tc>
      </w:tr>
      <w:tr>
        <w:trPr>
          <w:trHeight w:val="180"/>
        </w:trPr>
        <w:tc>
          <w:tcPr>
            <w:tcW w:w="20" w:type="dxa"/>
            <w:vAlign w:val="bottom"/>
          </w:tcPr>
          <w:p>
            <w:pPr>
              <w:spacing w:after="0"/>
              <w:rPr>
                <w:sz w:val="15"/>
                <w:szCs w:val="15"/>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Glacier Capital Trust III</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1.29%</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04/07/2036</w:t>
            </w:r>
          </w:p>
        </w:tc>
      </w:tr>
      <w:tr>
        <w:trPr>
          <w:trHeight w:val="180"/>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Glacier Capital Trust IV</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60" w:type="dxa"/>
            <w:vAlign w:val="bottom"/>
            <w:gridSpan w:val="5"/>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1.57%</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09/15/2036</w:t>
            </w:r>
          </w:p>
        </w:tc>
      </w:tr>
      <w:tr>
        <w:trPr>
          <w:trHeight w:val="180"/>
        </w:trPr>
        <w:tc>
          <w:tcPr>
            <w:tcW w:w="20" w:type="dxa"/>
            <w:vAlign w:val="bottom"/>
          </w:tcPr>
          <w:p>
            <w:pPr>
              <w:spacing w:after="0"/>
              <w:rPr>
                <w:sz w:val="15"/>
                <w:szCs w:val="15"/>
                <w:color w:val="auto"/>
              </w:rPr>
            </w:pP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Bank of the San Juans Bancorporation Trust I</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1.82%</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03/01/2037</w:t>
            </w:r>
          </w:p>
        </w:tc>
      </w:tr>
      <w:tr>
        <w:trPr>
          <w:trHeight w:val="180"/>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FNB (UT) Statutory Trust I</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60" w:type="dxa"/>
            <w:vAlign w:val="bottom"/>
            <w:gridSpan w:val="5"/>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3.10%</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06/26/2033</w:t>
            </w:r>
          </w:p>
        </w:tc>
      </w:tr>
      <w:tr>
        <w:trPr>
          <w:trHeight w:val="180"/>
        </w:trPr>
        <w:tc>
          <w:tcPr>
            <w:tcW w:w="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4"/>
                <w:szCs w:val="14"/>
                <w:color w:val="auto"/>
              </w:rPr>
              <w:t>FNB (UT) Statutory Trust II</w:t>
            </w:r>
          </w:p>
        </w:tc>
        <w:tc>
          <w:tcPr>
            <w:tcW w:w="8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6.341 %</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3 month CME Term SOFR plus 1.72%</w:t>
            </w:r>
          </w:p>
        </w:tc>
        <w:tc>
          <w:tcPr>
            <w:tcW w:w="14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12/15/2036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subordinated debentures owed to trust subsidiaries</w:t>
            </w:r>
          </w:p>
        </w:tc>
        <w:tc>
          <w:tcPr>
            <w:tcW w:w="5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28" w:lineRule="exact"/>
        <w:rPr>
          <w:sz w:val="20"/>
          <w:szCs w:val="20"/>
          <w:color w:val="auto"/>
        </w:rPr>
      </w:pPr>
    </w:p>
    <w:p>
      <w:pPr>
        <w:ind w:left="80" w:hanging="75"/>
        <w:spacing w:after="0"/>
        <w:tabs>
          <w:tab w:leader="none" w:pos="8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is the paid rate on the subordinated debentures which excludes the impact from the interest rate cap derivatives. For additional information relating to interest rate cap derivatives, see Note 11</w:t>
      </w:r>
      <w:r>
        <w:rPr>
          <w:rFonts w:ascii="Times New Roman" w:cs="Times New Roman" w:eastAsia="Times New Roman" w:hAnsi="Times New Roman"/>
          <w:sz w:val="12"/>
          <w:szCs w:val="12"/>
          <w:color w:val="auto"/>
        </w:rPr>
        <w:t>.</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49"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auto"/>
        </w:rPr>
        <w:t>Subordinated Debentures Owed to Trust Subsidiaries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Trust preferred securities were issued by the Company’s trust subsidiaries, the common stock of which is wholly-owned by the Company, in conjunction with the Company issuing subordinated debentures to the trust subsidiaries. The terms of the subordinated debentures are the same as the terms of the trust preferred securities. The Company guaranteed the payment of distributions and payments for redemption or liquidation of the trust preferred securities to the extent of funds held by the trust subsidiaries. The obligations of the Company under the subordinated debentures together with the guarantee and other back-up obligations, in the aggregate, constitute a full and unconditional guarantee by the Company of the obligations of all trusts under the trust preferred securities.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trust preferred securities are subject to mandatory redemption upon repayment of the subordinated debentures at their stated maturity date or the earlier redemption in an amount equal to their liquidation amount plus accumulated and unpaid distributions to the date of redemption. Interest distributions are payable quarterly. The Company may defer the payment of interest at any time for a period not exceeding 20 consecutive quarters provided that the deferral period does not extend past the stated maturity. During any such deferral period, distributions on the trust preferred securities will also be deferred and the Company’s ability to pay dividends on its common shares will be restricted.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Subject to prior approval by the FRB, the trust preferred securities may be redeemed at par prior to maturity at the Company’s option on or after the redemption date. All of the Company’s trust preferred securities have reached the redemption date and could be redeemed at the Company’s option. The trust preferred securities may also be redeemed at any time in whole (but not in part) for the Trusts in the event of unfavorable changes in laws or regulations that result in 1) subsidiary trusts becoming subject to federal income tax on income received on the subordinated debentures; 2) interest payable by the Company on the subordinated debentures becoming non-deductible for federal tax purposes; 3) the requirement for the trusts to register under the Investment Company Act of 1940, as amended; or 4) loss of the ability to treat the trust preferred securities as Tier 1 capital under the FRB capital adequacy guidelines.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Provisions of the Dodd-Frank Act require that if a depository institution holding company exceeds $15 billion due to an acquisition, then trust preferred securities are to be excluded from Tier 1 capital beginning in the period in which the transaction occurred. During 2020, the Company’s acquisition of State Bank Corp and its subsidiary State Bank of Arizona on February 29, 2020, resulted in total consolidated assets exceeding $15 billion; accordingly the trust preferred securities were included in Tier 2 capital instead of Tier 1 beginning in 2020.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regulatory capital, see Note 12.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Derivatives and Hedging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Flow Hedges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Interest Rate Cap Derivatives. </w:t>
      </w:r>
      <w:r>
        <w:rPr>
          <w:rFonts w:ascii="Times New Roman" w:cs="Times New Roman" w:eastAsia="Times New Roman" w:hAnsi="Times New Roman"/>
          <w:sz w:val="14"/>
          <w:szCs w:val="14"/>
          <w:color w:val="auto"/>
        </w:rPr>
        <w:t>The Company has purchased interest rate caps designated as cash flow hedges with notional amounts totaling $86,500,000 on its variable rate subordinated debentures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were determined to be fully effective during the year ended December 31, 2024. The interest rate caps require receipt of variable amounts from the counterparty when interest rates rise above the strike price in the contracts. The strike prices in the five year term contracts range from 1.5 percent to 2 percent. The variable rate is based on 90 days of compounded overnight secured overnight financing (“SOFR”) plus a spread of 0.26161 percent. At December 31, 2024, and 2023 the interest rate caps had a fair value of $720,000 and $4,990,000, respectively, and were reported as other assets on the Company’s statements of financial condition. Amortization recorded on the interest rate caps totaled $168,000 and $168,000, respectively, and was reported as a component of interest expense on subordinated debentures for the years ended December 31, 2024, and 2023,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 of cash flow hedge accounting on OCI for the periods ending December 31, 2024, 2023, and 2022 was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Years ended</w:t>
            </w:r>
          </w:p>
        </w:tc>
        <w:tc>
          <w:tcPr>
            <w:tcW w:w="146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4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Amount of gain recognized in OCI</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7,809</w:t>
            </w:r>
          </w:p>
        </w:tc>
      </w:tr>
      <w:tr>
        <w:trPr>
          <w:trHeight w:val="184"/>
        </w:trPr>
        <w:tc>
          <w:tcPr>
            <w:tcW w:w="20" w:type="dxa"/>
            <w:vAlign w:val="bottom"/>
          </w:tcPr>
          <w:p>
            <w:pPr>
              <w:spacing w:after="0"/>
              <w:rPr>
                <w:sz w:val="16"/>
                <w:szCs w:val="16"/>
                <w:color w:val="auto"/>
              </w:rPr>
            </w:pPr>
          </w:p>
        </w:tc>
        <w:tc>
          <w:tcPr>
            <w:tcW w:w="6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Amount of gain reclassified from OCI to interest expense</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Fair Value Hedges</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i w:val="1"/>
          <w:iCs w:val="1"/>
          <w:color w:val="auto"/>
        </w:rPr>
        <w:t xml:space="preserve">Interest Rate Swap Agreements </w:t>
      </w:r>
      <w:r>
        <w:rPr>
          <w:rFonts w:ascii="Times New Roman" w:cs="Times New Roman" w:eastAsia="Times New Roman" w:hAnsi="Times New Roman"/>
          <w:sz w:val="14"/>
          <w:szCs w:val="14"/>
          <w:color w:val="auto"/>
        </w:rPr>
        <w:t>- The Company entered into fair value hedges for a closed pool of fixed rate debt securities. The instruments are designated as fair value hedges as the changes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fair value of the interest rate swap are expected to offset changes in the fair value of the hedged item attributable to changes in the compounded overnight SOFR rate, the designated benchmark interest rate. These derivative contracts involve the receipt of floating rate interest from a counterparty in exchange for the Company making fixed-rate payments over the life of the contract, without the exchange of the underlying notional value.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14"/>
          <w:szCs w:val="14"/>
          <w:color w:val="auto"/>
        </w:rPr>
        <w:t>During the fourth quarter of 2024, the Company terminated the existing fair value hedges for $19,825,000. This basis adjustment to the carrying cost of the closed pool will be amortized over the remaining life of the securities in the closed pool. Subsequent to the termination, the Company entered into new fair value hedges that better protected the Company from the risk of changes to the overnight SOFR 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notional and estimated fair value amount of derivative positions outstanding:</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1160" w:type="dxa"/>
            <w:vAlign w:val="bottom"/>
            <w:tcBorders>
              <w:top w:val="single" w:sz="8" w:color="auto"/>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Remaining</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5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Notional Amount</w:t>
            </w:r>
          </w:p>
        </w:tc>
        <w:tc>
          <w:tcPr>
            <w:tcW w:w="220" w:type="dxa"/>
            <w:vAlign w:val="bottom"/>
          </w:tcPr>
          <w:p>
            <w:pPr>
              <w:spacing w:after="0"/>
              <w:rPr>
                <w:sz w:val="12"/>
                <w:szCs w:val="12"/>
                <w:color w:val="auto"/>
              </w:rPr>
            </w:pPr>
          </w:p>
        </w:tc>
        <w:tc>
          <w:tcPr>
            <w:tcW w:w="14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Asset Derivative</w:t>
            </w:r>
          </w:p>
        </w:tc>
        <w:tc>
          <w:tcPr>
            <w:tcW w:w="260" w:type="dxa"/>
            <w:vAlign w:val="bottom"/>
          </w:tcPr>
          <w:p>
            <w:pPr>
              <w:spacing w:after="0"/>
              <w:rPr>
                <w:sz w:val="12"/>
                <w:szCs w:val="12"/>
                <w:color w:val="auto"/>
              </w:rPr>
            </w:pPr>
          </w:p>
        </w:tc>
        <w:tc>
          <w:tcPr>
            <w:tcW w:w="15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Liability Derivative</w:t>
            </w:r>
          </w:p>
        </w:tc>
        <w:tc>
          <w:tcPr>
            <w:tcW w:w="11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Maturity</w:t>
            </w:r>
          </w:p>
        </w:tc>
        <w:tc>
          <w:tcPr>
            <w:tcW w:w="11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9"/>
              </w:rPr>
              <w:t>Receive Rate</w:t>
            </w:r>
          </w:p>
        </w:tc>
        <w:tc>
          <w:tcPr>
            <w:tcW w:w="116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color w:val="auto"/>
              </w:rPr>
              <w:t>Pay Rate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 securities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1,630,500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8"/>
              </w:rPr>
              <w:t>1.2 years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SOFR</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r>
      <w:tr>
        <w:trPr>
          <w:trHeight w:val="456"/>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December 31, 2023</w:t>
            </w: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1160" w:type="dxa"/>
            <w:vAlign w:val="bottom"/>
            <w:tcBorders>
              <w:bottom w:val="single" w:sz="8" w:color="auto"/>
            </w:tcBorders>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Remaining</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50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4"/>
                <w:szCs w:val="14"/>
                <w:color w:val="auto"/>
              </w:rPr>
              <w:t>Notional Amount</w:t>
            </w:r>
          </w:p>
        </w:tc>
        <w:tc>
          <w:tcPr>
            <w:tcW w:w="220" w:type="dxa"/>
            <w:vAlign w:val="bottom"/>
          </w:tcPr>
          <w:p>
            <w:pPr>
              <w:spacing w:after="0"/>
              <w:rPr>
                <w:sz w:val="12"/>
                <w:szCs w:val="12"/>
                <w:color w:val="auto"/>
              </w:rPr>
            </w:pPr>
          </w:p>
        </w:tc>
        <w:tc>
          <w:tcPr>
            <w:tcW w:w="14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4"/>
                <w:szCs w:val="14"/>
                <w:color w:val="auto"/>
              </w:rPr>
              <w:t>Asset Derivative</w:t>
            </w:r>
          </w:p>
        </w:tc>
        <w:tc>
          <w:tcPr>
            <w:tcW w:w="260" w:type="dxa"/>
            <w:vAlign w:val="bottom"/>
          </w:tcPr>
          <w:p>
            <w:pPr>
              <w:spacing w:after="0"/>
              <w:rPr>
                <w:sz w:val="12"/>
                <w:szCs w:val="12"/>
                <w:color w:val="auto"/>
              </w:rPr>
            </w:pPr>
          </w:p>
        </w:tc>
        <w:tc>
          <w:tcPr>
            <w:tcW w:w="15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Liability Derivative</w:t>
            </w:r>
          </w:p>
        </w:tc>
        <w:tc>
          <w:tcPr>
            <w:tcW w:w="11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rPr>
              <w:t>Maturity</w:t>
            </w:r>
          </w:p>
        </w:tc>
        <w:tc>
          <w:tcPr>
            <w:tcW w:w="11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w w:val="99"/>
              </w:rPr>
              <w:t>Receive Rate</w:t>
            </w:r>
          </w:p>
        </w:tc>
        <w:tc>
          <w:tcPr>
            <w:tcW w:w="1160" w:type="dxa"/>
            <w:vAlign w:val="bottom"/>
          </w:tcPr>
          <w:p>
            <w:pPr>
              <w:jc w:val="right"/>
              <w:ind w:right="249"/>
              <w:spacing w:after="0" w:line="122" w:lineRule="exact"/>
              <w:rPr>
                <w:sz w:val="20"/>
                <w:szCs w:val="20"/>
                <w:color w:val="auto"/>
              </w:rPr>
            </w:pPr>
            <w:r>
              <w:rPr>
                <w:rFonts w:ascii="Times New Roman" w:cs="Times New Roman" w:eastAsia="Times New Roman" w:hAnsi="Times New Roman"/>
                <w:sz w:val="14"/>
                <w:szCs w:val="14"/>
                <w:color w:val="auto"/>
              </w:rPr>
              <w:t>Pay Rate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 securities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17,988</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8"/>
              </w:rPr>
              <w:t>2.1 years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SOFR</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4.63 %</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amounts were recorded on the balance sheet related to cumulative basis adjustments for fair value hedges for the respective periods: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Amortized Cost of Fair Value Hedging Included in the</w:t>
            </w:r>
          </w:p>
        </w:tc>
      </w:tr>
      <w:tr>
        <w:trPr>
          <w:trHeight w:val="149"/>
        </w:trPr>
        <w:tc>
          <w:tcPr>
            <w:tcW w:w="20" w:type="dxa"/>
            <w:vAlign w:val="bottom"/>
          </w:tcPr>
          <w:p>
            <w:pPr>
              <w:spacing w:after="0"/>
              <w:rPr>
                <w:sz w:val="12"/>
                <w:szCs w:val="12"/>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3060" w:type="dxa"/>
            <w:vAlign w:val="bottom"/>
            <w:gridSpan w:val="5"/>
          </w:tcPr>
          <w:p>
            <w:pPr>
              <w:ind w:left="320"/>
              <w:spacing w:after="0" w:line="129" w:lineRule="exact"/>
              <w:rPr>
                <w:sz w:val="20"/>
                <w:szCs w:val="20"/>
                <w:color w:val="auto"/>
              </w:rPr>
            </w:pPr>
            <w:r>
              <w:rPr>
                <w:rFonts w:ascii="Times New Roman" w:cs="Times New Roman" w:eastAsia="Times New Roman" w:hAnsi="Times New Roman"/>
                <w:sz w:val="14"/>
                <w:szCs w:val="14"/>
                <w:color w:val="auto"/>
              </w:rPr>
              <w:t>Amortized cost of the Hedged Assets</w:t>
            </w:r>
          </w:p>
        </w:tc>
        <w:tc>
          <w:tcPr>
            <w:tcW w:w="240" w:type="dxa"/>
            <w:vAlign w:val="bottom"/>
          </w:tcPr>
          <w:p>
            <w:pPr>
              <w:spacing w:after="0"/>
              <w:rPr>
                <w:sz w:val="12"/>
                <w:szCs w:val="12"/>
                <w:color w:val="auto"/>
              </w:rPr>
            </w:pPr>
          </w:p>
        </w:tc>
        <w:tc>
          <w:tcPr>
            <w:tcW w:w="3000" w:type="dxa"/>
            <w:vAlign w:val="bottom"/>
            <w:gridSpan w:val="4"/>
          </w:tcPr>
          <w:p>
            <w:pPr>
              <w:jc w:val="center"/>
              <w:ind w:right="169"/>
              <w:spacing w:after="0" w:line="129" w:lineRule="exact"/>
              <w:rPr>
                <w:sz w:val="20"/>
                <w:szCs w:val="20"/>
                <w:color w:val="auto"/>
              </w:rPr>
            </w:pPr>
            <w:r>
              <w:rPr>
                <w:rFonts w:ascii="Times New Roman" w:cs="Times New Roman" w:eastAsia="Times New Roman" w:hAnsi="Times New Roman"/>
                <w:sz w:val="14"/>
                <w:szCs w:val="14"/>
                <w:color w:val="auto"/>
              </w:rPr>
              <w:t>Carrying Amount of the Hedged Assets</w:t>
            </w:r>
          </w:p>
        </w:tc>
      </w:tr>
      <w:tr>
        <w:trPr>
          <w:trHeight w:val="22"/>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240" w:type="dxa"/>
            <w:vAlign w:val="bottom"/>
          </w:tcPr>
          <w:p>
            <w:pPr>
              <w:spacing w:after="0"/>
              <w:rPr>
                <w:sz w:val="11"/>
                <w:szCs w:val="11"/>
                <w:color w:val="auto"/>
              </w:rPr>
            </w:pPr>
          </w:p>
        </w:tc>
        <w:tc>
          <w:tcPr>
            <w:tcW w:w="134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240" w:type="dxa"/>
            <w:vAlign w:val="bottom"/>
          </w:tcPr>
          <w:p>
            <w:pPr>
              <w:spacing w:after="0"/>
              <w:rPr>
                <w:sz w:val="11"/>
                <w:szCs w:val="11"/>
                <w:color w:val="auto"/>
              </w:rPr>
            </w:pPr>
          </w:p>
        </w:tc>
        <w:tc>
          <w:tcPr>
            <w:tcW w:w="134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r>
      <w:tr>
        <w:trPr>
          <w:trHeight w:val="191"/>
        </w:trPr>
        <w:tc>
          <w:tcPr>
            <w:tcW w:w="20" w:type="dxa"/>
            <w:vAlign w:val="bottom"/>
          </w:tcPr>
          <w:p>
            <w:pPr>
              <w:spacing w:after="0"/>
              <w:rPr>
                <w:sz w:val="16"/>
                <w:szCs w:val="16"/>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Line item on the balance sheet</w:t>
            </w:r>
          </w:p>
        </w:tc>
        <w:tc>
          <w:tcPr>
            <w:tcW w:w="240" w:type="dxa"/>
            <w:vAlign w:val="bottom"/>
          </w:tcPr>
          <w:p>
            <w:pPr>
              <w:spacing w:after="0"/>
              <w:rPr>
                <w:sz w:val="16"/>
                <w:szCs w:val="16"/>
                <w:color w:val="auto"/>
              </w:rPr>
            </w:pPr>
          </w:p>
        </w:tc>
        <w:tc>
          <w:tcPr>
            <w:tcW w:w="13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3,242,878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3,807,239</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17,988</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the fair value hedge relationships on the income statement during the years ended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color w:val="auto"/>
              </w:rPr>
              <w:t>Years ended</w:t>
            </w:r>
          </w:p>
        </w:tc>
        <w:tc>
          <w:tcPr>
            <w:tcW w:w="132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378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36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Location of Gain (Loss)</w:t>
            </w:r>
          </w:p>
        </w:tc>
        <w:tc>
          <w:tcPr>
            <w:tcW w:w="420" w:type="dxa"/>
            <w:vAlign w:val="bottom"/>
          </w:tcPr>
          <w:p>
            <w:pPr>
              <w:spacing w:after="0"/>
              <w:rPr>
                <w:sz w:val="11"/>
                <w:szCs w:val="11"/>
                <w:color w:val="auto"/>
              </w:rPr>
            </w:pPr>
          </w:p>
        </w:tc>
        <w:tc>
          <w:tcPr>
            <w:tcW w:w="1380" w:type="dxa"/>
            <w:vAlign w:val="bottom"/>
          </w:tcPr>
          <w:p>
            <w:pPr>
              <w:jc w:val="right"/>
              <w:ind w:right="691"/>
              <w:spacing w:after="0" w:line="118" w:lineRule="exact"/>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tcPr>
          <w:p>
            <w:pPr>
              <w:jc w:val="right"/>
              <w:ind w:right="751"/>
              <w:spacing w:after="0" w:line="118" w:lineRule="exact"/>
              <w:rPr>
                <w:sz w:val="20"/>
                <w:szCs w:val="20"/>
                <w:color w:val="auto"/>
              </w:rPr>
            </w:pPr>
            <w:r>
              <w:rPr>
                <w:rFonts w:ascii="Times New Roman" w:cs="Times New Roman" w:eastAsia="Times New Roman" w:hAnsi="Times New Roman"/>
                <w:sz w:val="13"/>
                <w:szCs w:val="13"/>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income on investment securities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20,743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(16,447)</w:t>
            </w:r>
          </w:p>
        </w:tc>
      </w:tr>
      <w:tr>
        <w:trPr>
          <w:trHeight w:val="184"/>
        </w:trPr>
        <w:tc>
          <w:tcPr>
            <w:tcW w:w="2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AFS debt securities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Interest income on investment securities</w:t>
            </w:r>
          </w:p>
        </w:tc>
        <w:tc>
          <w:tcPr>
            <w:tcW w:w="420" w:type="dxa"/>
            <w:vAlign w:val="bottom"/>
          </w:tcPr>
          <w:p>
            <w:pPr>
              <w:spacing w:after="0"/>
              <w:rPr>
                <w:sz w:val="16"/>
                <w:szCs w:val="16"/>
                <w:color w:val="auto"/>
              </w:rPr>
            </w:pPr>
          </w:p>
        </w:tc>
        <w:tc>
          <w:tcPr>
            <w:tcW w:w="138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7"/>
              </w:rPr>
              <w:t>(7,451)</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Residential Real Estate Derivatives</w:t>
      </w:r>
    </w:p>
    <w:p>
      <w:pPr>
        <w:spacing w:after="0" w:line="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Company enters into residential real estate derivatives for commitments (“interest rate locks”) to fund certain residential real estate loans to be sold into the secondary market. At December 31, 2024 and 2023, loan commitments with interest rate lock commitments totaled $22,977,000 and $22,738,000, respectively. At December 31, 2024 and 2023, the fair value of the related derivatives on the interest rate lock commitments was $410,000 and $604,000, respectively, and was included in other assets with corresponding changes recorded in gain on sale of loans. The Company enters into free-standing derivatives to mitigate interest rate risk for most residential real estate loans to be sold. These derivatives include forward commitments to sell to-be-announced (“TBA”) securities which are used to economically hedge the interest rate risk associated with such loans and unfunded commitments. At December 31, 2024 and 2023, TBA commitments were $29,000,000 and $22,000,000, respectively. At December 31, 2024, the fair value of the related derivatives on the TBA securities was $169,000 and was included in other assets with a corresponding gain on sale of loans. At December 31, 2023, the fair value of related derivatives on the TBA securities was $350,000 and was included in other liabilities with corresponding changes recorded in gain on sale of loans. The Company does not enter into a commitment to sell these loans to an investor until the loan is funded and is ready to be delivered to the investor. Due to the forward sales commitments being short-term in nature, the corresponding derivatives are not significant.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designated in hedge relationships until the loan is funded.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Note 12. Regulatory Capital</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Federal Reserve adopted capital adequacy guidelines that are used to assess the adequacy of capital in supervising a bank holding company. The guidelines require the Company to hold a 2.5 percent capital conservation buffer designed to absorb losses during periods of economic stress. The Company has elected to opt-out of the requirement to include accumulated other comprehensive income. As of December 31, 2024, management believes the Company and Bank meet all capital adequacy requirements to which they are subject.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Prompt corrective action regulations provide the following classifications: well capitalized, adequately capitalized, undercapitalized, significantly undercapitalized and critically undercapitalized. If undercapitalized, capital distributions (including payment of a dividend) are generally restricted, as is paying management fees to its bank holding company. Failure to meet minimum capital requirements set forth in the table below can initiate certain mandatory and possible additional discretionary actions by regulators that, if undertaken, could have a direct material effect on the Company’s and Bank’s financial condition. The Company’s and Bank’s capital amounts and classification are also subject to qualitative judgments by the regulators about components, risk weightings and other factors.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and 2023, the most recent regulatory notifications categorized the Company and Bank as well capitalized under the regulatory framework for prompt corrective action. To be well capitalized, the Bank must maintain minimum total capital, Tier 1 capital, Common Tier 1 capital and Tier 1 Leverage ratios as set forth in the table below. There are no conditions or events since December 31, 2024 that management believes have changed the Company’s or Bank’s risk-based capital category.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Current guidance from the Federal Reserve provides, among other things, that dividends per share on the Company’s common stock generally should not exceed earnings per share, measured over the previous four fiscal quarters. In certain circumstances, Montana law also places limits or restrictions on a bank’s ability to declare and pay dividends.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following tables illustrate the FRB’s adequacy guidelines and the Company’s and the Bank’s compliance with those guidelines: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4"/>
                <w:szCs w:val="14"/>
                <w:color w:val="auto"/>
              </w:rPr>
              <w:t>December 31, 2024</w:t>
            </w: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gridSpan w:val="4"/>
          </w:tcPr>
          <w:p>
            <w:pPr>
              <w:ind w:left="360"/>
              <w:spacing w:after="0" w:line="129" w:lineRule="exact"/>
              <w:rPr>
                <w:sz w:val="20"/>
                <w:szCs w:val="20"/>
                <w:color w:val="auto"/>
              </w:rPr>
            </w:pPr>
            <w:r>
              <w:rPr>
                <w:rFonts w:ascii="Times New Roman" w:cs="Times New Roman" w:eastAsia="Times New Roman" w:hAnsi="Times New Roman"/>
                <w:sz w:val="14"/>
                <w:szCs w:val="14"/>
                <w:color w:val="auto"/>
              </w:rPr>
              <w:t>To Be Well Capitalized</w:t>
            </w: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4"/>
                <w:szCs w:val="14"/>
                <w:color w:val="auto"/>
              </w:rPr>
              <w:t>Under Prompt Corrective Action</w:t>
            </w: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rPr>
              <w:t>Actual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Required for Capital Adequacy Purposes</w:t>
            </w:r>
          </w:p>
        </w:tc>
        <w:tc>
          <w:tcPr>
            <w:tcW w:w="14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Regulations</w:t>
            </w:r>
          </w:p>
        </w:tc>
        <w:tc>
          <w:tcPr>
            <w:tcW w:w="78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396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900" w:type="dxa"/>
            <w:vAlign w:val="bottom"/>
            <w:tcBorders>
              <w:top w:val="single" w:sz="8" w:color="auto"/>
            </w:tcBorders>
          </w:tcPr>
          <w:p>
            <w:pPr>
              <w:jc w:val="right"/>
              <w:ind w:right="350"/>
              <w:spacing w:after="0" w:line="118" w:lineRule="exact"/>
              <w:rPr>
                <w:sz w:val="20"/>
                <w:szCs w:val="20"/>
                <w:color w:val="auto"/>
              </w:rPr>
            </w:pPr>
            <w:r>
              <w:rPr>
                <w:rFonts w:ascii="Times New Roman" w:cs="Times New Roman" w:eastAsia="Times New Roman" w:hAnsi="Times New Roman"/>
                <w:sz w:val="13"/>
                <w:szCs w:val="13"/>
                <w:color w:val="auto"/>
              </w:rPr>
              <w:t>Ratio</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1120" w:type="dxa"/>
            <w:vAlign w:val="bottom"/>
            <w:tcBorders>
              <w:top w:val="single" w:sz="8" w:color="auto"/>
            </w:tcBorders>
          </w:tcPr>
          <w:p>
            <w:pPr>
              <w:jc w:val="right"/>
              <w:ind w:right="330"/>
              <w:spacing w:after="0" w:line="118" w:lineRule="exact"/>
              <w:rPr>
                <w:sz w:val="20"/>
                <w:szCs w:val="20"/>
                <w:color w:val="auto"/>
              </w:rPr>
            </w:pPr>
            <w:r>
              <w:rPr>
                <w:rFonts w:ascii="Times New Roman" w:cs="Times New Roman" w:eastAsia="Times New Roman" w:hAnsi="Times New Roman"/>
                <w:sz w:val="13"/>
                <w:szCs w:val="13"/>
                <w:color w:val="auto"/>
              </w:rPr>
              <w:t>Ratio</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780" w:type="dxa"/>
            <w:vAlign w:val="bottom"/>
            <w:tcBorders>
              <w:top w:val="single" w:sz="8" w:color="auto"/>
            </w:tcBorders>
          </w:tcPr>
          <w:p>
            <w:pPr>
              <w:jc w:val="right"/>
              <w:ind w:right="350"/>
              <w:spacing w:after="0" w:line="118" w:lineRule="exact"/>
              <w:rPr>
                <w:sz w:val="20"/>
                <w:szCs w:val="20"/>
                <w:color w:val="auto"/>
              </w:rPr>
            </w:pPr>
            <w:r>
              <w:rPr>
                <w:rFonts w:ascii="Times New Roman" w:cs="Times New Roman" w:eastAsia="Times New Roman" w:hAnsi="Times New Roman"/>
                <w:sz w:val="13"/>
                <w:szCs w:val="13"/>
                <w:color w:val="auto"/>
              </w:rPr>
              <w:t>Ratio</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2,805,336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14.49 %</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1,548,647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2,629,308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1,547,240</w:t>
            </w:r>
          </w:p>
        </w:tc>
        <w:tc>
          <w:tcPr>
            <w:tcW w:w="10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8.00 %  $</w:t>
            </w: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1,934,050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2,456,084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1,161,486</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20" w:type="dxa"/>
            <w:vAlign w:val="bottom"/>
          </w:tcPr>
          <w:p>
            <w:pPr>
              <w:spacing w:after="0"/>
              <w:rPr>
                <w:sz w:val="15"/>
                <w:szCs w:val="15"/>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2,410,556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1,160,430</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1,547,240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2,456,084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871,114</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2,410,556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870,323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1,257,133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2,456,084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1,099,921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2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2,410,556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1,099,231</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1,374,039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r>
      <w:tr>
        <w:trPr>
          <w:trHeight w:val="57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4"/>
                <w:szCs w:val="14"/>
                <w:color w:val="auto"/>
              </w:rPr>
              <w:t>December 31, 2023</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gridSpan w:val="4"/>
          </w:tcPr>
          <w:p>
            <w:pPr>
              <w:ind w:left="360"/>
              <w:spacing w:after="0" w:line="129" w:lineRule="exact"/>
              <w:rPr>
                <w:sz w:val="20"/>
                <w:szCs w:val="20"/>
                <w:color w:val="auto"/>
              </w:rPr>
            </w:pPr>
            <w:r>
              <w:rPr>
                <w:rFonts w:ascii="Times New Roman" w:cs="Times New Roman" w:eastAsia="Times New Roman" w:hAnsi="Times New Roman"/>
                <w:sz w:val="14"/>
                <w:szCs w:val="14"/>
                <w:color w:val="auto"/>
              </w:rPr>
              <w:t>To Be Well Capitalized</w:t>
            </w: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4"/>
                <w:szCs w:val="14"/>
                <w:color w:val="auto"/>
              </w:rPr>
              <w:t>Under Prompt Corrective Action</w:t>
            </w:r>
          </w:p>
        </w:tc>
      </w:t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rPr>
              <w:t>Actual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Required for Capital Adequacy Purposes</w:t>
            </w:r>
          </w:p>
        </w:tc>
        <w:tc>
          <w:tcPr>
            <w:tcW w:w="142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Regulations</w:t>
            </w:r>
          </w:p>
        </w:tc>
        <w:tc>
          <w:tcPr>
            <w:tcW w:w="78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396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860" w:type="dxa"/>
            <w:vAlign w:val="bottom"/>
            <w:tcBorders>
              <w:top w:val="single" w:sz="8" w:color="auto"/>
            </w:tcBorders>
          </w:tcPr>
          <w:p>
            <w:pPr>
              <w:jc w:val="right"/>
              <w:ind w:right="350"/>
              <w:spacing w:after="0" w:line="118" w:lineRule="exact"/>
              <w:rPr>
                <w:sz w:val="20"/>
                <w:szCs w:val="20"/>
                <w:color w:val="auto"/>
              </w:rPr>
            </w:pPr>
            <w:r>
              <w:rPr>
                <w:rFonts w:ascii="Times New Roman" w:cs="Times New Roman" w:eastAsia="Times New Roman" w:hAnsi="Times New Roman"/>
                <w:sz w:val="13"/>
                <w:szCs w:val="13"/>
                <w:color w:val="auto"/>
              </w:rPr>
              <w:t>Ratio</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1120" w:type="dxa"/>
            <w:vAlign w:val="bottom"/>
            <w:tcBorders>
              <w:top w:val="single" w:sz="8" w:color="auto"/>
            </w:tcBorders>
          </w:tcPr>
          <w:p>
            <w:pPr>
              <w:jc w:val="right"/>
              <w:ind w:right="330"/>
              <w:spacing w:after="0" w:line="118" w:lineRule="exact"/>
              <w:rPr>
                <w:sz w:val="20"/>
                <w:szCs w:val="20"/>
                <w:color w:val="auto"/>
              </w:rPr>
            </w:pPr>
            <w:r>
              <w:rPr>
                <w:rFonts w:ascii="Times New Roman" w:cs="Times New Roman" w:eastAsia="Times New Roman" w:hAnsi="Times New Roman"/>
                <w:sz w:val="13"/>
                <w:szCs w:val="13"/>
                <w:color w:val="auto"/>
              </w:rPr>
              <w:t>Ratio</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color w:val="auto"/>
              </w:rPr>
              <w:t>Amount</w:t>
            </w:r>
          </w:p>
        </w:tc>
        <w:tc>
          <w:tcPr>
            <w:tcW w:w="780" w:type="dxa"/>
            <w:vAlign w:val="bottom"/>
            <w:tcBorders>
              <w:top w:val="single" w:sz="8" w:color="auto"/>
            </w:tcBorders>
          </w:tcPr>
          <w:p>
            <w:pPr>
              <w:jc w:val="right"/>
              <w:ind w:right="350"/>
              <w:spacing w:after="0" w:line="118" w:lineRule="exact"/>
              <w:rPr>
                <w:sz w:val="20"/>
                <w:szCs w:val="20"/>
                <w:color w:val="auto"/>
              </w:rPr>
            </w:pPr>
            <w:r>
              <w:rPr>
                <w:rFonts w:ascii="Times New Roman" w:cs="Times New Roman" w:eastAsia="Times New Roman" w:hAnsi="Times New Roman"/>
                <w:sz w:val="13"/>
                <w:szCs w:val="13"/>
                <w:color w:val="auto"/>
              </w:rPr>
              <w:t>Ratio</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2,724,988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14.61 %</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1,492,211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1,490,668</w:t>
            </w:r>
          </w:p>
        </w:tc>
        <w:tc>
          <w:tcPr>
            <w:tcW w:w="10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8.00 %  $</w:t>
            </w: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1,863,335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2,397,716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1,119,158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20" w:type="dxa"/>
            <w:vAlign w:val="bottom"/>
          </w:tcPr>
          <w:p>
            <w:pPr>
              <w:spacing w:after="0"/>
              <w:rPr>
                <w:sz w:val="15"/>
                <w:szCs w:val="15"/>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2,424,902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1,118,001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1,490,668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2,397,716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839,369</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2,424,902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838,501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1,211,168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2,397,716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1,101,349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20" w:type="dxa"/>
            <w:vAlign w:val="bottom"/>
          </w:tcPr>
          <w:p>
            <w:pPr>
              <w:spacing w:after="0"/>
              <w:rPr>
                <w:sz w:val="16"/>
                <w:szCs w:val="16"/>
                <w:color w:val="auto"/>
              </w:rPr>
            </w:pPr>
          </w:p>
        </w:tc>
        <w:tc>
          <w:tcPr>
            <w:tcW w:w="39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Glacier Bank</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2,424,902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1,100,600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1,375,750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 - 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Stock-based Compensation Plan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stock-based compensation plan, The 2015 Stock Incentive Plan, provides incentives and awards to select employees and directors of the Company and permits the granting of stock options, share appreciation rights, restricted shares, restricted stock units, unrestricted shares and performance awards. At December 31, 2024, the number of shares available to award to employees and directors under the 2015 Stock Incentive Plan was 1,311,565. Only restricted stock units were issued for the years ended December 31, 2024, 2023 and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Restricted Stock Units</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has awarded restricted stock units to select employees and directors under the 2015 Stock Incentive Plan. Common stock is issued as vesting restrictions lapse, which may be immediately or according to the terms of a vesting schedule. The vesting is generally zero to three years. Restricted stock units may not be sold, pledged or otherwise transferred until restrictions have lapsed. The recipient does not have the right to vote or to receive dividends until the restricted stock unit has vested. The fair value of the restricted stock unit is the closing price of the Company’s common stock on the award date.</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Compensation expense related to restricted stock units for the years ended December 31, 2024, 2023 and 2022 was $7,919,000, $7,895,000 and $6,756,000, respectively, and the recognized income tax benefit related to this expense was $1,973,000, $1,976,000 and $1,707,000, respectively. As of December 31, 2024, total unrecognized compensation expense of $7,045,000 related to restricted stock units is expected to be recognized over a weighted-average period of 1.7 years.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restricted stock units that vested during the years ended December 31, 2024, 2023 and 2022 was $7,989,000, $7,410,000 and $5,624,000, respectively, and the income tax benefit related to these awards was $1,602,000, $1,691,000 and $1,585,000, respectively. Upon vesting of restricted stock units, the shares are issued from the Company’s authorized stock balance.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restricted stock unit activity for the year ended December 31, 2024:</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9"/>
              <w:spacing w:after="0" w:line="159" w:lineRule="exact"/>
              <w:rPr>
                <w:sz w:val="20"/>
                <w:szCs w:val="20"/>
                <w:color w:val="auto"/>
              </w:rPr>
            </w:pPr>
            <w:r>
              <w:rPr>
                <w:rFonts w:ascii="Times New Roman" w:cs="Times New Roman" w:eastAsia="Times New Roman" w:hAnsi="Times New Roman"/>
                <w:sz w:val="14"/>
                <w:szCs w:val="14"/>
                <w:color w:val="auto"/>
                <w:w w:val="98"/>
              </w:rPr>
              <w:t>Weighted-</w:t>
            </w: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209"/>
              <w:spacing w:after="0" w:line="138"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89"/>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276,983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180"/>
        </w:trPr>
        <w:tc>
          <w:tcPr>
            <w:tcW w:w="8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289,508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average remaining contractual term on non-vested restricted stock units at December 31, 2024 is 0.8 years. The aggregate intrinsic value of the non-vested restricted stock units at December 31, 2024 was $14,539,000.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Employee Benefit Plans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provides its qualified employees with a comprehensive benefit program, including health, dental and vision insurance, life and accident insurance, short- and long-term disability coverage, paid time off, Profit Sharing and 401(k) Plan, stock-based compensation plan, deferred compensation plans, and supplemental executive retirement plan (“SERP”). The Company has elected to self-insure certain costs related to employee health, dental and vision benefit programs. Costs resulting from non-insured losses are expensed as incurred. The Company has purchased insurance that limits its exposure on an individual claim basis for the employee health benefit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Profit Sharing and 401(k) Plan</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Profit Sharing and 401(k) Plan have safe harbor and employer discretionary components. To be eligible to participate in the plan, an employee must be at least 18 years of age and employed for a full three months. Employees are eligible to participate in the 401(k) plan the first day of the month once they have met the eligibility requirements. To be considered eligible for the employer discretionary contribution of the profit sharing plan, an employee must be 18 years of age, worked one full calendar quarter, worked 501 hours in the plan year and be employed as of the last day of the plan year. Participants are at all times fully vested in all contributions.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profit sharing plan contributions consists of a 3 percent non-elective safe harbor contribution fully funded by the Company and an employer discretionary contribution. The employer discretionary contribution depends on the Company’s profitability. The total profit sharing plan expense for the years ended December 31, 2024, 2023, and 2022 was $10,644,000, $13,409,000 and $23,588,000, respectively.</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401(k) plan allows eligible employees under the age of 50 to contribute up to 60 percent, and those 50 and older to contribute up to 100 percent of their eligible annual compensation up to the limit set annually by the Internal Revenue Service (“IRS”). The Company matches an amount equal to 50 percent of the first 6 percent of an employee’s contribution. The Company’s contribution to the 401(k) plan for the years ended December 31, 2024, 2023 and 2022 was $6,794,000, $6,074,000, and $6,247,000,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Deferred Compensation Plans</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has non-funded deferred compensation plans for directors, eligible employees and certain nonemployee service providers. The plans provide for participants’ elective deferral of cash payments of up to 50 percent of a participants’ salary and 100 percent of bonuses and directors fees. As of December 31, 2024 and 2023, the liability related to the plans was $11,926,000 and $11,014,000, respectively, and was included in other liabilities. The total amount deferred for the plans was $1,807,000, $1,860,000, and $1,317,000, for the years ending December 31, 2024, 2023, and 2022, respectively. The participant receives an earnings credit at a rate equal to 50 percent of the Company’s return on average equity. Total expense for the years ended December 31, 2024, 2023, and 2022 for the plans was $346,000, $374,000 and $443,000, respectively.</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several acquisitions, the Company assumed the obligations of deferred compensation plans for certain key employees. As of December 31, 2024 and 2023, the liability related to the acquired plans was $18,837,000 and $17,931,000, respectively, and was included in other liabilities. Total expense for the years ended December 31, 2024, 2023, and 2022 for the acquired plans was $1,069,000, $1,062,000 and $1,444,000,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auto"/>
        </w:rPr>
        <w:t>Supplemental Executive Retirement Plan</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a SERP which is intended to supplement payments due to participants upon retirement under the Company’s other qualified plans. The Company credits the participant’s account on an annual basis for an amount equal to employer contributions that would have otherwise been allocated to the participant’s account under the tax-qualified plans were it not for limitations imposed by the IRS or the participation in the non-funded deferred compensation plan. Eligible employees include participants of the non-funded deferred compensation plan and employees whose benefits were limited as a result of IRS regulations. As of December 31, 2024 and 2023, the liability related to the SERP was $5,615,000 and $5,483,000, respectively, and was included in other liabilities. The Company’s required contribution to the SERP for the years ended December 31, 2024, 2023 and 2022 was $263,000, $643,000, and $950,000, respectively. The participant receives an earnings credit at a rate equal to 50 percent of the Company’s return on average equity. Total expense for the years ended December 31, 2024, 2023, and 2022 for the SERP was $165,000, $267,000, and $159,000,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15. Other Expenses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expenses consists of the following:</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Years ended</w:t>
            </w:r>
          </w:p>
        </w:tc>
        <w:tc>
          <w:tcPr>
            <w:tcW w:w="1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and outside services</w:t>
            </w:r>
          </w:p>
        </w:tc>
        <w:tc>
          <w:tcPr>
            <w:tcW w:w="23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Debit card expenses</w:t>
            </w: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Mergers and acquisition expenses</w:t>
            </w: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 expenses</w:t>
            </w: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VIE amortization and other expenses</w:t>
            </w: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expenses</w:t>
            </w: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Telephone</w:t>
            </w: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development</w:t>
            </w: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Checking and operating expenses</w:t>
            </w: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Postage</w:t>
            </w: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supplies</w:t>
            </w: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and audit fees</w:t>
            </w: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w:t>
            </w: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(Gain) loss on dispositions of premises and equipment</w:t>
            </w: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3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10,754</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other expenses</w:t>
            </w:r>
          </w:p>
        </w:tc>
        <w:tc>
          <w:tcPr>
            <w:tcW w:w="23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104,320</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86,988</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8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6"/>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16. Federal and State Income Taxes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61"/>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is a summary of consolidated income tax expense:</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Years ended</w:t>
            </w:r>
          </w:p>
        </w:tc>
        <w:tc>
          <w:tcPr>
            <w:tcW w:w="146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42,951</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State</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21,950</w:t>
            </w: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33,552</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44,174</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64,901</w:t>
            </w:r>
          </w:p>
        </w:tc>
      </w:tr>
      <w:tr>
        <w:trPr>
          <w:trHeight w:val="160"/>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 xml:space="preserve">Deferred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State</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deferred income tax expense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Total income tax expense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36,160</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44,681</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37" w:lineRule="exact"/>
        <w:rPr>
          <w:sz w:val="20"/>
          <w:szCs w:val="20"/>
          <w:color w:val="auto"/>
        </w:rPr>
      </w:pPr>
    </w:p>
    <w:p>
      <w:pPr>
        <w:ind w:left="60" w:hanging="55"/>
        <w:spacing w:after="0"/>
        <w:tabs>
          <w:tab w:leader="none" w:pos="6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tax benefit of operating loss carryforwards of $307,000, $313,000, and $315,000 for the years ended December 31, 2024, 2023, and 2022,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Combined federal and state income tax expense differs from that computed at the federal statutory corporate income tax rate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Years ended</w:t>
            </w:r>
          </w:p>
        </w:tc>
        <w:tc>
          <w:tcPr>
            <w:tcW w:w="1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80" w:type="dxa"/>
            <w:vAlign w:val="bottom"/>
            <w:gridSpan w:val="2"/>
          </w:tcPr>
          <w:p>
            <w:pPr>
              <w:ind w:left="4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6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80" w:type="dxa"/>
            <w:vAlign w:val="bottom"/>
          </w:tcPr>
          <w:p>
            <w:pPr>
              <w:jc w:val="right"/>
              <w:ind w:right="32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3880" w:type="dxa"/>
            <w:vAlign w:val="bottom"/>
            <w:gridSpan w:val="2"/>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158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rate</w:t>
            </w:r>
          </w:p>
        </w:tc>
        <w:tc>
          <w:tcPr>
            <w:tcW w:w="23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taxes, net of federal income tax benefit</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5"/>
                <w:szCs w:val="15"/>
                <w:color w:val="auto"/>
              </w:rPr>
            </w:pPr>
          </w:p>
        </w:tc>
        <w:tc>
          <w:tcPr>
            <w:tcW w:w="1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Tax-exempt interest income</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230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0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10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30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106</w:t>
            </w: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0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4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tax   effect   of   temporary   differences   which   give</w:t>
            </w:r>
          </w:p>
        </w:tc>
        <w:tc>
          <w:tcPr>
            <w:tcW w:w="44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rise   to   a   significant   portion   of   deferred   tax   assets   and</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are   as   follows:</w:t>
            </w: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122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4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44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124,533</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4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53,074</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Employee benefits</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11,093</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Deferred compensation</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 fair market value adjustments</w:t>
            </w:r>
          </w:p>
        </w:tc>
        <w:tc>
          <w:tcPr>
            <w:tcW w:w="4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rate swaps</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4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Transferred debt securities</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4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r>
      <w:tr>
        <w:trPr>
          <w:trHeight w:val="171"/>
        </w:trPr>
        <w:tc>
          <w:tcPr>
            <w:tcW w:w="2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4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202,939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221,595</w:t>
            </w:r>
          </w:p>
        </w:tc>
      </w:tr>
      <w:tr>
        <w:trPr>
          <w:trHeight w:val="160"/>
        </w:trPr>
        <w:tc>
          <w:tcPr>
            <w:tcW w:w="20" w:type="dxa"/>
            <w:vAlign w:val="bottom"/>
            <w:shd w:val="clear" w:color="auto" w:fill="CCEEFF"/>
          </w:tcPr>
          <w:p>
            <w:pPr>
              <w:spacing w:after="0"/>
              <w:rPr>
                <w:sz w:val="13"/>
                <w:szCs w:val="13"/>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4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Depreciation of premises and equipment</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(17,728)</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loan costs</w:t>
            </w:r>
          </w:p>
        </w:tc>
        <w:tc>
          <w:tcPr>
            <w:tcW w:w="4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(10,103)</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(10,207)</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Intangibles</w:t>
            </w:r>
          </w:p>
        </w:tc>
        <w:tc>
          <w:tcPr>
            <w:tcW w:w="4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(6,014)</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Prepaid assets</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4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Debt securities fair value hedge</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w:t>
            </w:r>
          </w:p>
        </w:tc>
      </w:tr>
      <w:tr>
        <w:trPr>
          <w:trHeight w:val="180"/>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4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r>
      <w:tr>
        <w:trPr>
          <w:trHeight w:val="171"/>
        </w:trPr>
        <w:tc>
          <w:tcPr>
            <w:tcW w:w="2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4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(62,525)</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9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Net deferred tax asset</w:t>
            </w:r>
          </w:p>
        </w:tc>
        <w:tc>
          <w:tcPr>
            <w:tcW w:w="4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federal net operating loss carryforwards of $1,544,000 expiring between 2024 and 2036. The Company has Colorado net operating loss carryforwards of $6,993,000 expiring between 2026 and 2037. The net operating loss carryforwards originated from acquisitions.</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Company and the Bank file consolidated income tax returns for the federal jurisdiction and several states that require consolidated income tax returns. Wyoming, Washington and Nevada do not impose a corporate income tax. All required income tax returns have been timely filed. The following schedule summarizes the years that remain subject to examination as of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7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2011, 2012, 2013, 2016, 2021, 2022 and 2023</w:t>
            </w:r>
          </w:p>
        </w:tc>
      </w:tr>
      <w:tr>
        <w:trPr>
          <w:trHeight w:val="18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2009, 2010, 2011, 2012, 2020, 2021, 2022 and 2023</w:t>
            </w: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 California, Kentucky, Michigan, Minnesota, New Jersey, Texas, &amp; Wisconsin</w:t>
            </w: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 2021, 2022 and 2023</w:t>
            </w:r>
          </w:p>
        </w:tc>
      </w:tr>
    </w:tbl>
    <w:p>
      <w:pPr>
        <w:ind w:left="20"/>
        <w:spacing w:after="0" w:line="223" w:lineRule="auto"/>
        <w:rPr>
          <w:sz w:val="20"/>
          <w:szCs w:val="20"/>
          <w:color w:val="auto"/>
        </w:rPr>
      </w:pPr>
      <w:r>
        <w:rPr>
          <w:rFonts w:ascii="Times New Roman" w:cs="Times New Roman" w:eastAsia="Times New Roman" w:hAnsi="Times New Roman"/>
          <w:sz w:val="14"/>
          <w:szCs w:val="14"/>
          <w:color w:val="auto"/>
        </w:rPr>
        <w:t>Alabama, Alaska, Arkansas, Connecticut, Florida, Georgia, Hawaii, Idaho, Illinois, Indiana, Iowa,</w:t>
      </w:r>
    </w:p>
    <w:p>
      <w:pPr>
        <w:ind w:left="20"/>
        <w:spacing w:after="0" w:line="185" w:lineRule="auto"/>
        <w:tabs>
          <w:tab w:leader="none" w:pos="6040" w:val="left"/>
        </w:tabs>
        <w:rPr>
          <w:sz w:val="20"/>
          <w:szCs w:val="20"/>
          <w:color w:val="auto"/>
        </w:rPr>
      </w:pPr>
      <w:r>
        <w:rPr>
          <w:rFonts w:ascii="Times New Roman" w:cs="Times New Roman" w:eastAsia="Times New Roman" w:hAnsi="Times New Roman"/>
          <w:sz w:val="14"/>
          <w:szCs w:val="14"/>
          <w:color w:val="auto"/>
        </w:rPr>
        <w:t>Kansas, Louisiana, Maryland, Massachusetts, Mississippi, Missouri, Montana, New Mexico, New York,</w:t>
      </w:r>
      <w:r>
        <w:rPr>
          <w:sz w:val="20"/>
          <w:szCs w:val="20"/>
          <w:color w:val="auto"/>
        </w:rPr>
        <w:tab/>
      </w:r>
      <w:r>
        <w:rPr>
          <w:rFonts w:ascii="Times New Roman" w:cs="Times New Roman" w:eastAsia="Times New Roman" w:hAnsi="Times New Roman"/>
          <w:sz w:val="9"/>
          <w:szCs w:val="9"/>
          <w:color w:val="auto"/>
        </w:rPr>
        <w:t>2021, 2022 and 2023</w:t>
      </w:r>
    </w:p>
    <w:p>
      <w:pPr>
        <w:ind w:left="20"/>
        <w:spacing w:after="0" w:line="221" w:lineRule="auto"/>
        <w:rPr>
          <w:sz w:val="20"/>
          <w:szCs w:val="20"/>
          <w:color w:val="auto"/>
        </w:rPr>
      </w:pPr>
      <w:r>
        <w:rPr>
          <w:rFonts w:ascii="Times New Roman" w:cs="Times New Roman" w:eastAsia="Times New Roman" w:hAnsi="Times New Roman"/>
          <w:sz w:val="14"/>
          <w:szCs w:val="14"/>
          <w:color w:val="auto"/>
        </w:rPr>
        <w:t>North Carolina, North Dakota, New Hampshire, Oklahoma, Oregon, Pennsylvania, South Carolina,</w:t>
      </w:r>
    </w:p>
    <w:p>
      <w:pPr>
        <w:ind w:left="20"/>
        <w:spacing w:after="0"/>
        <w:rPr>
          <w:sz w:val="20"/>
          <w:szCs w:val="20"/>
          <w:color w:val="auto"/>
        </w:rPr>
      </w:pPr>
      <w:r>
        <w:rPr>
          <w:rFonts w:ascii="Times New Roman" w:cs="Times New Roman" w:eastAsia="Times New Roman" w:hAnsi="Times New Roman"/>
          <w:sz w:val="14"/>
          <w:szCs w:val="14"/>
          <w:color w:val="auto"/>
        </w:rPr>
        <w:t>Tennessee, Utah, &amp; Virginia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07" w:name="page108"/>
    <w:bookmarkEnd w:id="107"/>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had no unrecognized income tax benefits as of December 31, 2024 and 2023. The Company recognizes interest related to unrecognized income tax benefits in interest expense and penalties are recognized in other expense. Interest expense and penalties recognized with respect to income tax liabilities for the years ended December 31, 2024, 2023, and 2022 was not significant. The Company had no accrued liabilities for the payment of interest or penalties at December 31, 2024 and 2023.</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assessed the need for a valuation allowance and determined that a valuation allowance was not necessary at December 31, 2024 and 2023. The Company believes that it is more-likely-than-not that the Company’s deferred tax assets will be realizable by offsetting future taxable income from reversing taxable temporary differences and anticipated future taxable income (exclusive of reversing temporary differences). In its assessment, the Company considered its strong earnings history, no history of income tax credit carryforwards expiring unused, and no expected future net operating losses (for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Accumulated Other Comprehensive (Loss)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illustrates the activity within accumulated other comprehensive (loss) income by component, net of tax: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(Losses) Gains on</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(Losses) Gains on</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54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Available-For-Sale and</w:t>
            </w:r>
          </w:p>
        </w:tc>
        <w:tc>
          <w:tcPr>
            <w:tcW w:w="154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Transferred Debt</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Derivatives Used for</w:t>
            </w:r>
          </w:p>
        </w:tc>
        <w:tc>
          <w:tcPr>
            <w:tcW w:w="146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7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Securities</w:t>
            </w:r>
          </w:p>
        </w:tc>
        <w:tc>
          <w:tcPr>
            <w:tcW w:w="15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Cash Flow Hedges</w:t>
            </w: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(502,611)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(496,775)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Reclassification adjustments for losses and transfers included in net income</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adjustments for amortization included in net income for transferred securities</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Net current period other comprehensive (loss) income</w:t>
            </w:r>
          </w:p>
        </w:tc>
        <w:tc>
          <w:tcPr>
            <w:tcW w:w="1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(501,376)</w:t>
            </w:r>
          </w:p>
        </w:tc>
        <w:tc>
          <w:tcPr>
            <w:tcW w:w="10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8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(496,151)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(474,338)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92,391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93,912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adjustments for gains (losses) and transfers included in net income</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Reclassification adjustments for amortization included in net income for transferred securities</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w:t>
            </w: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7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96,610</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(377,728)</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Reclassification adjustments for losses and transfers included in net income</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Reclassifications adjustments for amortization included in net income for transferred securities</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67,892</w:t>
            </w:r>
          </w:p>
        </w:tc>
        <w:tc>
          <w:tcPr>
            <w:tcW w:w="10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8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7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(309,836)</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Note 18. Earnings Per Share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Basic and diluted earnings per share has been computed based on the following:</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Years ended</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 except per share data)</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available to common stockholders, basic and diluted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190,144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222,927</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outstanding shares - basic</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113,170,157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110,864,501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110,757,473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 dilutive restricted stock units and stock options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73,270</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25,946</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outstanding shares - diluted</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113,243,427</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110,890,447</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110,827,933</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8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Diluted earnings per share</w:t>
            </w:r>
          </w:p>
        </w:tc>
        <w:tc>
          <w:tcPr>
            <w:tcW w:w="200" w:type="dxa"/>
            <w:vAlign w:val="bottom"/>
            <w:tcBorders>
              <w:bottom w:val="single" w:sz="8" w:color="auto"/>
            </w:tcBorders>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shd w:val="clear" w:color="auto" w:fill="CCEEFF"/>
          </w:tcPr>
          <w:p>
            <w:pPr>
              <w:spacing w:after="0"/>
              <w:rPr>
                <w:sz w:val="8"/>
                <w:szCs w:val="8"/>
                <w:color w:val="auto"/>
              </w:rPr>
            </w:pPr>
          </w:p>
        </w:tc>
        <w:tc>
          <w:tcPr>
            <w:tcW w:w="668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Restricted stock units and stock options excluded from the</w:t>
            </w:r>
          </w:p>
        </w:tc>
        <w:tc>
          <w:tcPr>
            <w:tcW w:w="200" w:type="dxa"/>
            <w:vAlign w:val="bottom"/>
            <w:shd w:val="clear" w:color="auto" w:fill="CCEEFF"/>
          </w:tcPr>
          <w:p>
            <w:pPr>
              <w:spacing w:after="0"/>
              <w:rPr>
                <w:sz w:val="8"/>
                <w:szCs w:val="8"/>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shd w:val="clear" w:color="auto" w:fill="CCEEFF"/>
          </w:tcPr>
          <w:p>
            <w:pPr>
              <w:spacing w:after="0"/>
              <w:rPr>
                <w:sz w:val="8"/>
                <w:szCs w:val="8"/>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223,626</w:t>
            </w:r>
          </w:p>
        </w:tc>
        <w:tc>
          <w:tcPr>
            <w:tcW w:w="100" w:type="dxa"/>
            <w:vAlign w:val="bottom"/>
            <w:shd w:val="clear" w:color="auto" w:fill="CCEEFF"/>
          </w:tcPr>
          <w:p>
            <w:pPr>
              <w:spacing w:after="0"/>
              <w:rPr>
                <w:sz w:val="8"/>
                <w:szCs w:val="8"/>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8,642</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60"/>
              <w:spacing w:after="0" w:line="170" w:lineRule="exact"/>
              <w:rPr>
                <w:sz w:val="20"/>
                <w:szCs w:val="20"/>
                <w:color w:val="auto"/>
              </w:rPr>
            </w:pPr>
            <w:r>
              <w:rPr>
                <w:rFonts w:ascii="Times New Roman" w:cs="Times New Roman" w:eastAsia="Times New Roman" w:hAnsi="Times New Roman"/>
                <w:sz w:val="14"/>
                <w:szCs w:val="14"/>
                <w:color w:val="auto"/>
              </w:rPr>
              <w:t xml:space="preserve">diluted average outstanding share calculation </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5" w:lineRule="exact"/>
        <w:rPr>
          <w:sz w:val="20"/>
          <w:szCs w:val="20"/>
          <w:color w:val="auto"/>
        </w:rPr>
      </w:pPr>
    </w:p>
    <w:p>
      <w:pPr>
        <w:ind w:left="80" w:hanging="75"/>
        <w:spacing w:after="0"/>
        <w:tabs>
          <w:tab w:leader="none" w:pos="8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Anti-dilution occurs when the unrecognized compensation cost per share of a restricted stock unit or the exercise price of a stock option exceeds the market price of the Company’s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Parent Holding Company Information (Condensed)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condensed financial information was the unconsolidated information for the parent holding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Condensed Statements of Financial Condition</w:t>
            </w:r>
          </w:p>
        </w:tc>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3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Cash on hand and in banks</w:t>
            </w:r>
          </w:p>
        </w:tc>
        <w:tc>
          <w:tcPr>
            <w:tcW w:w="41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bearing cash deposits</w:t>
            </w:r>
          </w:p>
        </w:tc>
        <w:tc>
          <w:tcPr>
            <w:tcW w:w="38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162,208</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173,307</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100,818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3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3,177,785</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3,043,852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w:t>
            </w:r>
          </w:p>
        </w:tc>
        <w:tc>
          <w:tcPr>
            <w:tcW w:w="38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3,367,963</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3,162,876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160" w:type="dxa"/>
            <w:vAlign w:val="bottom"/>
            <w:gridSpan w:val="3"/>
            <w:vMerge w:val="continue"/>
          </w:tcPr>
          <w:p>
            <w:pPr>
              <w:spacing w:after="0"/>
              <w:rPr>
                <w:sz w:val="10"/>
                <w:szCs w:val="10"/>
                <w:color w:val="auto"/>
              </w:rPr>
            </w:pPr>
          </w:p>
        </w:tc>
        <w:tc>
          <w:tcPr>
            <w:tcW w:w="3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Dividends payable</w:t>
            </w:r>
          </w:p>
        </w:tc>
        <w:tc>
          <w:tcPr>
            <w:tcW w:w="41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Subordinated debentures</w:t>
            </w: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38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Total liabilities</w:t>
            </w: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144,109</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142,595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Paid-in capital</w:t>
            </w: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2,448,758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2,350,104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1,083,258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1,043,181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(309,296)</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(374,113)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8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3,223,854</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3,020,281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8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3,367,963</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80" w:type="dxa"/>
            <w:vAlign w:val="bottom"/>
            <w:vMerge w:val="restart"/>
          </w:tcPr>
          <w:p>
            <w:pPr>
              <w:jc w:val="right"/>
              <w:ind w:right="2229"/>
              <w:spacing w:after="0"/>
              <w:rPr>
                <w:sz w:val="20"/>
                <w:szCs w:val="20"/>
                <w:color w:val="auto"/>
              </w:rPr>
            </w:pPr>
            <w:r>
              <w:rPr>
                <w:rFonts w:ascii="Times New Roman" w:cs="Times New Roman" w:eastAsia="Times New Roman" w:hAnsi="Times New Roman"/>
                <w:sz w:val="14"/>
                <w:szCs w:val="14"/>
                <w:color w:val="auto"/>
              </w:rPr>
              <w:t>109</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5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Condensed Statements of Operations and Comprehensive Income</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Years ended</w:t>
            </w:r>
          </w:p>
        </w:tc>
        <w:tc>
          <w:tcPr>
            <w:tcW w:w="1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w:t>
            </w: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Dividends from subsidiaries</w:t>
            </w:r>
          </w:p>
        </w:tc>
        <w:tc>
          <w:tcPr>
            <w:tcW w:w="13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Intercompany charges for services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income</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241,283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178,715</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Expenses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13,536</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11,167</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21,678</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17,719</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Income before income tax benefit and equity in undistributed net income of subsidiaries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219,605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1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Income before equity in undistributed net income of subsidiaries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222,782</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164,092</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in (distributed) undistributed net income of subsidiaries</w:t>
            </w:r>
          </w:p>
        </w:tc>
        <w:tc>
          <w:tcPr>
            <w:tcW w:w="1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(32,638)</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58,835</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190,144</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222,927</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254,961</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317,606</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4"/>
                <w:szCs w:val="14"/>
                <w:color w:val="auto"/>
              </w:rPr>
              <w:t>Condensed Statements of Cash Flows</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520" w:type="dxa"/>
            <w:vAlign w:val="bottom"/>
            <w:gridSpan w:val="5"/>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Years ended</w:t>
            </w:r>
          </w:p>
        </w:tc>
        <w:tc>
          <w:tcPr>
            <w:tcW w:w="1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3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190,144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Subsidiary income less than (in excess of) dividends distributed</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(58,835)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Stock-based compensation, net of tax benefits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gridSpan w:val="4"/>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224,744</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173,622</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additions of premises and equipment</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Proceeds from sale of marketable equity securities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contributed to subsidiaries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500" w:type="dxa"/>
            <w:vAlign w:val="bottom"/>
            <w:tcBorders>
              <w:bottom w:val="single" w:sz="8" w:color="CCEEFF"/>
            </w:tcBorders>
            <w:gridSpan w:val="4"/>
          </w:tcPr>
          <w:p>
            <w:pPr>
              <w:ind w:left="50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1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Cash dividends paid</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(150,034)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(146,690)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withholding payments for stock-based compensation</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500" w:type="dxa"/>
            <w:vAlign w:val="bottom"/>
            <w:tcBorders>
              <w:top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(151,659)</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(148,485)</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72,489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100,818</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75,684</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1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173,307</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100,818</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vMerge w:val="restart"/>
          </w:tcPr>
          <w:p>
            <w:pPr>
              <w:jc w:val="right"/>
              <w:ind w:right="889"/>
              <w:spacing w:after="0"/>
              <w:rPr>
                <w:sz w:val="20"/>
                <w:szCs w:val="20"/>
                <w:color w:val="auto"/>
              </w:rPr>
            </w:pPr>
            <w:r>
              <w:rPr>
                <w:rFonts w:ascii="Times New Roman" w:cs="Times New Roman" w:eastAsia="Times New Roman" w:hAnsi="Times New Roman"/>
                <w:sz w:val="14"/>
                <w:szCs w:val="14"/>
                <w:color w:val="auto"/>
                <w:w w:val="95"/>
              </w:rPr>
              <w:t>110</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26"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Note 20. Unaudited Quarterly Financial Data (Condensed)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unaudited quarterly financial data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color w:val="auto"/>
              </w:rPr>
              <w:t>Quarters ended 2024</w:t>
            </w: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29"/>
        </w:trPr>
        <w:tc>
          <w:tcPr>
            <w:tcW w:w="40" w:type="dxa"/>
            <w:vAlign w:val="bottom"/>
          </w:tcPr>
          <w:p>
            <w:pPr>
              <w:spacing w:after="0"/>
              <w:rPr>
                <w:sz w:val="11"/>
                <w:szCs w:val="11"/>
                <w:color w:val="auto"/>
              </w:rPr>
            </w:pPr>
          </w:p>
        </w:tc>
        <w:tc>
          <w:tcPr>
            <w:tcW w:w="51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 except per share data)</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ind w:left="200"/>
              <w:spacing w:after="0" w:line="118" w:lineRule="exact"/>
              <w:rPr>
                <w:sz w:val="20"/>
                <w:szCs w:val="20"/>
                <w:color w:val="auto"/>
              </w:rPr>
            </w:pPr>
            <w:r>
              <w:rPr>
                <w:rFonts w:ascii="Times New Roman" w:cs="Times New Roman" w:eastAsia="Times New Roman" w:hAnsi="Times New Roman"/>
                <w:sz w:val="13"/>
                <w:szCs w:val="13"/>
                <w:color w:val="auto"/>
              </w:rPr>
              <w:t>March 31</w:t>
            </w:r>
          </w:p>
        </w:tc>
        <w:tc>
          <w:tcPr>
            <w:tcW w:w="20" w:type="dxa"/>
            <w:vAlign w:val="bottom"/>
          </w:tcPr>
          <w:p>
            <w:pPr>
              <w:spacing w:after="0"/>
              <w:rPr>
                <w:sz w:val="11"/>
                <w:szCs w:val="11"/>
                <w:color w:val="auto"/>
              </w:rPr>
            </w:pPr>
          </w:p>
        </w:tc>
        <w:tc>
          <w:tcPr>
            <w:tcW w:w="1520" w:type="dxa"/>
            <w:vAlign w:val="bottom"/>
            <w:gridSpan w:val="3"/>
          </w:tcPr>
          <w:p>
            <w:pPr>
              <w:ind w:left="480"/>
              <w:spacing w:after="0" w:line="118" w:lineRule="exact"/>
              <w:rPr>
                <w:sz w:val="20"/>
                <w:szCs w:val="20"/>
                <w:color w:val="auto"/>
              </w:rPr>
            </w:pPr>
            <w:r>
              <w:rPr>
                <w:rFonts w:ascii="Times New Roman" w:cs="Times New Roman" w:eastAsia="Times New Roman" w:hAnsi="Times New Roman"/>
                <w:sz w:val="13"/>
                <w:szCs w:val="13"/>
                <w:color w:val="auto"/>
              </w:rPr>
              <w:t>June 30</w:t>
            </w:r>
          </w:p>
        </w:tc>
        <w:tc>
          <w:tcPr>
            <w:tcW w:w="20" w:type="dxa"/>
            <w:vAlign w:val="bottom"/>
          </w:tcPr>
          <w:p>
            <w:pPr>
              <w:spacing w:after="0"/>
              <w:rPr>
                <w:sz w:val="11"/>
                <w:szCs w:val="11"/>
                <w:color w:val="auto"/>
              </w:rPr>
            </w:pPr>
          </w:p>
        </w:tc>
        <w:tc>
          <w:tcPr>
            <w:tcW w:w="154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color w:val="auto"/>
              </w:rPr>
              <w:t>September 30</w:t>
            </w:r>
          </w:p>
        </w:tc>
        <w:tc>
          <w:tcPr>
            <w:tcW w:w="20" w:type="dxa"/>
            <w:vAlign w:val="bottom"/>
          </w:tcPr>
          <w:p>
            <w:pPr>
              <w:spacing w:after="0"/>
              <w:rPr>
                <w:sz w:val="11"/>
                <w:szCs w:val="11"/>
                <w:color w:val="auto"/>
              </w:rPr>
            </w:pPr>
          </w:p>
        </w:tc>
        <w:tc>
          <w:tcPr>
            <w:tcW w:w="1440" w:type="dxa"/>
            <w:vAlign w:val="bottom"/>
          </w:tcPr>
          <w:p>
            <w:pPr>
              <w:jc w:val="right"/>
              <w:ind w:right="291"/>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40" w:type="dxa"/>
            <w:vAlign w:val="bottom"/>
          </w:tcPr>
          <w:p>
            <w:pPr>
              <w:spacing w:after="0"/>
              <w:rPr>
                <w:sz w:val="11"/>
                <w:szCs w:val="1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279,402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273,834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289,578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297,036</w:t>
            </w:r>
          </w:p>
        </w:tc>
        <w:tc>
          <w:tcPr>
            <w:tcW w:w="40" w:type="dxa"/>
            <w:vAlign w:val="bottom"/>
          </w:tcPr>
          <w:p>
            <w:pPr>
              <w:spacing w:after="0"/>
              <w:rPr>
                <w:sz w:val="14"/>
                <w:szCs w:val="14"/>
                <w:color w:val="auto"/>
              </w:rPr>
            </w:pPr>
          </w:p>
        </w:tc>
      </w:tr>
      <w:tr>
        <w:trPr>
          <w:trHeight w:val="180"/>
        </w:trPr>
        <w:tc>
          <w:tcPr>
            <w:tcW w:w="4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107,356</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109,347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105,593</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166,478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191,443</w:t>
            </w:r>
          </w:p>
        </w:tc>
        <w:tc>
          <w:tcPr>
            <w:tcW w:w="40" w:type="dxa"/>
            <w:vAlign w:val="bottom"/>
          </w:tcPr>
          <w:p>
            <w:pPr>
              <w:spacing w:after="0"/>
              <w:rPr>
                <w:sz w:val="14"/>
                <w:szCs w:val="14"/>
                <w:color w:val="auto"/>
              </w:rPr>
            </w:pPr>
          </w:p>
        </w:tc>
      </w:tr>
      <w:tr>
        <w:trPr>
          <w:trHeight w:val="180"/>
        </w:trPr>
        <w:tc>
          <w:tcPr>
            <w:tcW w:w="4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8,005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162,960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182,909</w:t>
            </w:r>
          </w:p>
        </w:tc>
        <w:tc>
          <w:tcPr>
            <w:tcW w:w="4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31,549</w:t>
            </w:r>
          </w:p>
        </w:tc>
        <w:tc>
          <w:tcPr>
            <w:tcW w:w="40" w:type="dxa"/>
            <w:vAlign w:val="bottom"/>
          </w:tcPr>
          <w:p>
            <w:pPr>
              <w:spacing w:after="0"/>
              <w:rPr>
                <w:sz w:val="15"/>
                <w:szCs w:val="15"/>
                <w:color w:val="auto"/>
              </w:rPr>
            </w:pPr>
          </w:p>
        </w:tc>
      </w:tr>
      <w:tr>
        <w:trPr>
          <w:trHeight w:val="180"/>
        </w:trPr>
        <w:tc>
          <w:tcPr>
            <w:tcW w:w="40" w:type="dxa"/>
            <w:vAlign w:val="bottom"/>
            <w:tcBorders>
              <w:right w:val="single" w:sz="8" w:color="CCEEFF"/>
            </w:tcBorders>
            <w:shd w:val="clear" w:color="auto" w:fill="CCEEFF"/>
          </w:tcPr>
          <w:p>
            <w:pPr>
              <w:spacing w:after="0"/>
              <w:rPr>
                <w:sz w:val="15"/>
                <w:szCs w:val="15"/>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140,952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140,965</w:t>
            </w:r>
          </w:p>
        </w:tc>
        <w:tc>
          <w:tcPr>
            <w:tcW w:w="4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54,212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62,222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73,493</w:t>
            </w:r>
          </w:p>
        </w:tc>
        <w:tc>
          <w:tcPr>
            <w:tcW w:w="40" w:type="dxa"/>
            <w:vAlign w:val="bottom"/>
          </w:tcPr>
          <w:p>
            <w:pPr>
              <w:spacing w:after="0"/>
              <w:rPr>
                <w:sz w:val="14"/>
                <w:szCs w:val="14"/>
                <w:color w:val="auto"/>
              </w:rPr>
            </w:pPr>
          </w:p>
        </w:tc>
      </w:tr>
      <w:tr>
        <w:trPr>
          <w:trHeight w:val="180"/>
        </w:trPr>
        <w:tc>
          <w:tcPr>
            <w:tcW w:w="40" w:type="dxa"/>
            <w:vAlign w:val="bottom"/>
            <w:tcBorders>
              <w:right w:val="single" w:sz="8" w:color="CCEEFF"/>
            </w:tcBorders>
            <w:shd w:val="clear" w:color="auto" w:fill="CCEEFF"/>
          </w:tcPr>
          <w:p>
            <w:pPr>
              <w:spacing w:after="0"/>
              <w:rPr>
                <w:sz w:val="15"/>
                <w:szCs w:val="15"/>
                <w:color w:val="auto"/>
              </w:rPr>
            </w:pPr>
          </w:p>
        </w:tc>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and state income tax expense</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11,739</w:t>
            </w:r>
          </w:p>
        </w:tc>
        <w:tc>
          <w:tcPr>
            <w:tcW w:w="4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44,708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51,055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61,754</w:t>
            </w:r>
          </w:p>
        </w:tc>
        <w:tc>
          <w:tcPr>
            <w:tcW w:w="40" w:type="dxa"/>
            <w:vAlign w:val="bottom"/>
          </w:tcPr>
          <w:p>
            <w:pPr>
              <w:spacing w:after="0"/>
              <w:rPr>
                <w:sz w:val="14"/>
                <w:szCs w:val="14"/>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2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40" w:type="dxa"/>
            <w:vAlign w:val="bottom"/>
          </w:tcPr>
          <w:p>
            <w:pPr>
              <w:spacing w:after="0"/>
              <w:rPr>
                <w:sz w:val="14"/>
                <w:szCs w:val="14"/>
                <w:color w:val="auto"/>
              </w:rPr>
            </w:pPr>
          </w:p>
        </w:tc>
      </w:tr>
      <w:tr>
        <w:trPr>
          <w:trHeight w:val="184"/>
        </w:trPr>
        <w:tc>
          <w:tcPr>
            <w:tcW w:w="4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40" w:type="dxa"/>
            <w:vAlign w:val="bottom"/>
          </w:tcPr>
          <w:p>
            <w:pPr>
              <w:spacing w:after="0"/>
              <w:rPr>
                <w:sz w:val="16"/>
                <w:szCs w:val="16"/>
                <w:color w:val="auto"/>
              </w:rPr>
            </w:pPr>
          </w:p>
        </w:tc>
      </w:tr>
      <w:tr>
        <w:trPr>
          <w:trHeight w:val="272"/>
        </w:trPr>
        <w:tc>
          <w:tcPr>
            <w:tcW w:w="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color w:val="auto"/>
              </w:rPr>
              <w:t>Quarters ended 2023</w:t>
            </w:r>
          </w:p>
        </w:tc>
        <w:tc>
          <w:tcPr>
            <w:tcW w:w="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129"/>
        </w:trPr>
        <w:tc>
          <w:tcPr>
            <w:tcW w:w="40" w:type="dxa"/>
            <w:vAlign w:val="bottom"/>
          </w:tcPr>
          <w:p>
            <w:pPr>
              <w:spacing w:after="0"/>
              <w:rPr>
                <w:sz w:val="11"/>
                <w:szCs w:val="11"/>
                <w:color w:val="auto"/>
              </w:rPr>
            </w:pPr>
          </w:p>
        </w:tc>
        <w:tc>
          <w:tcPr>
            <w:tcW w:w="51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 except per share data)</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ind w:left="220"/>
              <w:spacing w:after="0" w:line="118" w:lineRule="exact"/>
              <w:rPr>
                <w:sz w:val="20"/>
                <w:szCs w:val="20"/>
                <w:color w:val="auto"/>
              </w:rPr>
            </w:pPr>
            <w:r>
              <w:rPr>
                <w:rFonts w:ascii="Times New Roman" w:cs="Times New Roman" w:eastAsia="Times New Roman" w:hAnsi="Times New Roman"/>
                <w:sz w:val="13"/>
                <w:szCs w:val="13"/>
                <w:color w:val="auto"/>
              </w:rPr>
              <w:t>March 31</w:t>
            </w:r>
          </w:p>
        </w:tc>
        <w:tc>
          <w:tcPr>
            <w:tcW w:w="20" w:type="dxa"/>
            <w:vAlign w:val="bottom"/>
          </w:tcPr>
          <w:p>
            <w:pPr>
              <w:spacing w:after="0"/>
              <w:rPr>
                <w:sz w:val="11"/>
                <w:szCs w:val="11"/>
                <w:color w:val="auto"/>
              </w:rPr>
            </w:pPr>
          </w:p>
        </w:tc>
        <w:tc>
          <w:tcPr>
            <w:tcW w:w="1520" w:type="dxa"/>
            <w:vAlign w:val="bottom"/>
            <w:gridSpan w:val="3"/>
          </w:tcPr>
          <w:p>
            <w:pPr>
              <w:ind w:left="500"/>
              <w:spacing w:after="0" w:line="118" w:lineRule="exact"/>
              <w:rPr>
                <w:sz w:val="20"/>
                <w:szCs w:val="20"/>
                <w:color w:val="auto"/>
              </w:rPr>
            </w:pPr>
            <w:r>
              <w:rPr>
                <w:rFonts w:ascii="Times New Roman" w:cs="Times New Roman" w:eastAsia="Times New Roman" w:hAnsi="Times New Roman"/>
                <w:sz w:val="13"/>
                <w:szCs w:val="13"/>
                <w:color w:val="auto"/>
              </w:rPr>
              <w:t>June 30</w:t>
            </w:r>
          </w:p>
        </w:tc>
        <w:tc>
          <w:tcPr>
            <w:tcW w:w="20" w:type="dxa"/>
            <w:vAlign w:val="bottom"/>
          </w:tcPr>
          <w:p>
            <w:pPr>
              <w:spacing w:after="0"/>
              <w:rPr>
                <w:sz w:val="11"/>
                <w:szCs w:val="11"/>
                <w:color w:val="auto"/>
              </w:rPr>
            </w:pPr>
          </w:p>
        </w:tc>
        <w:tc>
          <w:tcPr>
            <w:tcW w:w="1540" w:type="dxa"/>
            <w:vAlign w:val="bottom"/>
            <w:gridSpan w:val="3"/>
          </w:tcPr>
          <w:p>
            <w:pPr>
              <w:ind w:left="340"/>
              <w:spacing w:after="0" w:line="118" w:lineRule="exact"/>
              <w:rPr>
                <w:sz w:val="20"/>
                <w:szCs w:val="20"/>
                <w:color w:val="auto"/>
              </w:rPr>
            </w:pPr>
            <w:r>
              <w:rPr>
                <w:rFonts w:ascii="Times New Roman" w:cs="Times New Roman" w:eastAsia="Times New Roman" w:hAnsi="Times New Roman"/>
                <w:sz w:val="13"/>
                <w:szCs w:val="13"/>
                <w:color w:val="auto"/>
              </w:rPr>
              <w:t>September 30</w:t>
            </w:r>
          </w:p>
        </w:tc>
        <w:tc>
          <w:tcPr>
            <w:tcW w:w="20" w:type="dxa"/>
            <w:vAlign w:val="bottom"/>
          </w:tcPr>
          <w:p>
            <w:pPr>
              <w:spacing w:after="0"/>
              <w:rPr>
                <w:sz w:val="11"/>
                <w:szCs w:val="11"/>
                <w:color w:val="auto"/>
              </w:rPr>
            </w:pPr>
          </w:p>
        </w:tc>
        <w:tc>
          <w:tcPr>
            <w:tcW w:w="1440" w:type="dxa"/>
            <w:vAlign w:val="bottom"/>
          </w:tcPr>
          <w:p>
            <w:pPr>
              <w:jc w:val="right"/>
              <w:ind w:right="271"/>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247,365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273,496</w:t>
            </w:r>
          </w:p>
        </w:tc>
        <w:tc>
          <w:tcPr>
            <w:tcW w:w="40" w:type="dxa"/>
            <w:vAlign w:val="bottom"/>
            <w:tcBorders>
              <w:left w:val="single" w:sz="8" w:color="CCEEFF"/>
            </w:tcBorders>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75,385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97,852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107,040</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186,192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171,980</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167,054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166,456</w:t>
            </w:r>
          </w:p>
        </w:tc>
        <w:tc>
          <w:tcPr>
            <w:tcW w:w="40" w:type="dxa"/>
            <w:vAlign w:val="bottom"/>
            <w:tcBorders>
              <w:left w:val="single" w:sz="8" w:color="CCEEFF"/>
            </w:tcBorders>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180,722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169,207</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163,515</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163,443</w:t>
            </w:r>
          </w:p>
        </w:tc>
        <w:tc>
          <w:tcPr>
            <w:tcW w:w="40" w:type="dxa"/>
            <w:vAlign w:val="bottom"/>
            <w:tcBorders>
              <w:left w:val="single" w:sz="8" w:color="CCEEFF"/>
            </w:tcBorders>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29,079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30,865</w:t>
            </w:r>
          </w:p>
        </w:tc>
        <w:tc>
          <w:tcPr>
            <w:tcW w:w="40" w:type="dxa"/>
            <w:vAlign w:val="bottom"/>
          </w:tcPr>
          <w:p>
            <w:pPr>
              <w:spacing w:after="0"/>
              <w:rPr>
                <w:sz w:val="15"/>
                <w:szCs w:val="15"/>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130,604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132,196</w:t>
            </w:r>
          </w:p>
        </w:tc>
        <w:tc>
          <w:tcPr>
            <w:tcW w:w="40" w:type="dxa"/>
            <w:vAlign w:val="bottom"/>
            <w:tcBorders>
              <w:left w:val="single" w:sz="8" w:color="CCEEFF"/>
            </w:tcBorders>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73,635</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67,682</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64,179</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40" w:type="dxa"/>
            <w:vAlign w:val="bottom"/>
          </w:tcPr>
          <w:p>
            <w:pPr>
              <w:spacing w:after="0"/>
              <w:rPr>
                <w:sz w:val="14"/>
                <w:szCs w:val="14"/>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Federal and state income tax expense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w:t>
            </w:r>
          </w:p>
        </w:tc>
        <w:tc>
          <w:tcPr>
            <w:tcW w:w="40" w:type="dxa"/>
            <w:vAlign w:val="bottom"/>
            <w:tcBorders>
              <w:left w:val="single" w:sz="8" w:color="CCEEFF"/>
            </w:tcBorders>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61,211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54,955</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54,316</w:t>
            </w:r>
          </w:p>
        </w:tc>
        <w:tc>
          <w:tcPr>
            <w:tcW w:w="4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40" w:type="dxa"/>
            <w:vAlign w:val="bottom"/>
            <w:tcBorders>
              <w:left w:val="single" w:sz="8" w:color="CCEEFF"/>
            </w:tcBorders>
          </w:tcPr>
          <w:p>
            <w:pPr>
              <w:spacing w:after="0"/>
              <w:rPr>
                <w:sz w:val="14"/>
                <w:szCs w:val="14"/>
                <w:color w:val="auto"/>
              </w:rPr>
            </w:pPr>
          </w:p>
        </w:tc>
      </w:tr>
      <w:tr>
        <w:trPr>
          <w:trHeight w:val="184"/>
        </w:trPr>
        <w:tc>
          <w:tcPr>
            <w:tcW w:w="4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40" w:type="dxa"/>
            <w:vAlign w:val="bottom"/>
          </w:tcPr>
          <w:p>
            <w:pPr>
              <w:spacing w:after="0"/>
              <w:rPr>
                <w:sz w:val="16"/>
                <w:szCs w:val="16"/>
                <w:color w:val="auto"/>
              </w:rPr>
            </w:pPr>
          </w:p>
        </w:tc>
      </w:tr>
      <w:tr>
        <w:trPr>
          <w:trHeight w:val="760"/>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color w:val="auto"/>
        </w:rPr>
        <w:t>Note 21. Fair Value of Assets and Liabilities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spacing w:after="0" w:line="1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1</w:t>
        <w:tab/>
        <w:t>Quoted prices in active markets for identical assets or liabilities</w:t>
      </w:r>
    </w:p>
    <w:p>
      <w:pPr>
        <w:spacing w:after="0" w:line="94" w:lineRule="exact"/>
        <w:rPr>
          <w:sz w:val="20"/>
          <w:szCs w:val="20"/>
          <w:color w:val="auto"/>
        </w:rPr>
      </w:pPr>
    </w:p>
    <w:p>
      <w:pPr>
        <w:jc w:val="both"/>
        <w:ind w:left="520" w:hanging="508"/>
        <w:spacing w:after="0" w:line="287" w:lineRule="auto"/>
        <w:tabs>
          <w:tab w:leader="none" w:pos="500" w:val="left"/>
        </w:tabs>
        <w:rPr>
          <w:sz w:val="20"/>
          <w:szCs w:val="20"/>
          <w:color w:val="auto"/>
        </w:rPr>
      </w:pPr>
      <w:r>
        <w:rPr>
          <w:rFonts w:ascii="Times New Roman" w:cs="Times New Roman" w:eastAsia="Times New Roman" w:hAnsi="Times New Roman"/>
          <w:sz w:val="14"/>
          <w:szCs w:val="14"/>
          <w:color w:val="auto"/>
        </w:rPr>
        <w:t>Level 2</w:t>
        <w:tab/>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3</w:t>
        <w:tab/>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Transfers in and out of Level 1 (quoted prices in active markets), Level 2 (significant other observable inputs) and Level 3 (significant unobservable inputs) are recognized on the actual transfer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between fair value hierarchy levels during the years ended December 31, 2024, 2023,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Recurring Measurements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December 31, 2024.</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Debt securities, available-for-sale. </w:t>
      </w:r>
      <w:r>
        <w:rPr>
          <w:rFonts w:ascii="Times New Roman" w:cs="Times New Roman" w:eastAsia="Times New Roman" w:hAnsi="Times New Roman"/>
          <w:sz w:val="14"/>
          <w:szCs w:val="14"/>
          <w:color w:val="auto"/>
        </w:rPr>
        <w:t>The fair value for available-for-sale debt securities is estimated by obtaining quoted market prices for identical assets, where available. If such prices are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inputs are not available, such securities are classified as Level 3 within the hierarchy.</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Fair value determinations of available-for-sale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Loans held for sale, at fair value. </w:t>
      </w:r>
      <w:r>
        <w:rPr>
          <w:rFonts w:ascii="Times New Roman" w:cs="Times New Roman" w:eastAsia="Times New Roman" w:hAnsi="Times New Roman"/>
          <w:sz w:val="14"/>
          <w:szCs w:val="14"/>
          <w:color w:val="auto"/>
        </w:rPr>
        <w:t>Loans held for sale measured at fair value, for which an active secondary market and readily available market prices exist, are initially valued at the transaction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gains of $551,000, net gains of $264,000 and net gains of $1,427,000 for the years ended December 31, 2024, 2023 and 2022,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Loan interest rate lock commitments. </w:t>
      </w:r>
      <w:r>
        <w:rPr>
          <w:rFonts w:ascii="Times New Roman" w:cs="Times New Roman" w:eastAsia="Times New Roman" w:hAnsi="Times New Roman"/>
          <w:sz w:val="14"/>
          <w:szCs w:val="14"/>
          <w:color w:val="auto"/>
        </w:rPr>
        <w:t>Fair value estimates for loan interest rate lock commitments were based upon the estimated sales price, origination fees, direct costs, interest rate changes, etc.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were obtained from an independent third party. The components of the valuation were observable or could be corroborated by observable market data and, therefore, were classified within Level 2 of the valuation hierarchy.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12" w:name="page113"/>
    <w:bookmarkEnd w:id="112"/>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Forward commitments to sell TBA securities. </w:t>
      </w:r>
      <w:r>
        <w:rPr>
          <w:rFonts w:ascii="Times New Roman" w:cs="Times New Roman" w:eastAsia="Times New Roman" w:hAnsi="Times New Roman"/>
          <w:sz w:val="14"/>
          <w:szCs w:val="14"/>
          <w:color w:val="auto"/>
        </w:rPr>
        <w:t>Forward commitments to sell TBA securities are used to economically hedge the interest rate risk associated with certain loan commitments. The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estimates for the TBA commitments were based upon the estimated sale of the TBA hedge obtained from an independent third party. The components of the valuation were observable or could be corroborated by observable market data and, therefore, were classified within Level 2 of the valuation hierarchy.</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Interest rate cap derivative financial instruments. </w:t>
      </w:r>
      <w:r>
        <w:rPr>
          <w:rFonts w:ascii="Times New Roman" w:cs="Times New Roman" w:eastAsia="Times New Roman" w:hAnsi="Times New Roman"/>
          <w:sz w:val="14"/>
          <w:szCs w:val="14"/>
          <w:color w:val="auto"/>
        </w:rPr>
        <w:t>Fair value estimates for interest rate cap derivative financial instruments were based upon the discounted cash flows of known payments plus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value of each caplet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Interest rate swap derivative financial instruments. </w:t>
      </w:r>
      <w:r>
        <w:rPr>
          <w:rFonts w:ascii="Times New Roman" w:cs="Times New Roman" w:eastAsia="Times New Roman" w:hAnsi="Times New Roman"/>
          <w:sz w:val="14"/>
          <w:szCs w:val="14"/>
          <w:color w:val="auto"/>
        </w:rPr>
        <w:t>Fair value estimates for interest rate swap derivative financial instruments were based upon the estimated amounts to settle the contracts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considering current interest rates and were calculated using discounted cash flows. The inputs used to determine fair value included the compounded overnight SOFR rate to estimate variable rate cash inflows and the overnight SOFR swap rate to estimate the discount rate. The estimated variable rate cash inflows were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disclose the fair value measurement of assets and liabilities measured at fair value on a recurring basis: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Fair Value Measurements</w:t>
            </w: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top w:val="single" w:sz="8" w:color="auto"/>
            </w:tcBorders>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1560" w:type="dxa"/>
            <w:vAlign w:val="bottom"/>
            <w:tcBorders>
              <w:top w:val="single" w:sz="8" w:color="auto"/>
            </w:tcBorders>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color w:val="auto"/>
              </w:rPr>
              <w:t>Significant</w:t>
            </w:r>
          </w:p>
        </w:tc>
        <w:tc>
          <w:tcPr>
            <w:tcW w:w="14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 Active Markets</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8"/>
              </w:rPr>
              <w:t>for Identical</w:t>
            </w:r>
          </w:p>
        </w:tc>
        <w:tc>
          <w:tcPr>
            <w:tcW w:w="15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7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7"/>
              </w:rPr>
              <w:t>Fair Value</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8"/>
              </w:rPr>
              <w:t>Assets</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Inputs</w:t>
            </w:r>
          </w:p>
        </w:tc>
        <w:tc>
          <w:tcPr>
            <w:tcW w:w="1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45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December 31, 2024</w:t>
            </w:r>
          </w:p>
        </w:tc>
        <w:tc>
          <w:tcPr>
            <w:tcW w:w="15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(Level 1)</w:t>
            </w: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(Level 2)</w:t>
            </w:r>
          </w:p>
        </w:tc>
        <w:tc>
          <w:tcPr>
            <w:tcW w:w="17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color w:val="auto"/>
              </w:rPr>
              <w:t>(Level 3)</w:t>
            </w:r>
          </w:p>
        </w:tc>
        <w:tc>
          <w:tcPr>
            <w:tcW w:w="0" w:type="dxa"/>
            <w:vAlign w:val="bottom"/>
          </w:tcPr>
          <w:p>
            <w:pPr>
              <w:spacing w:after="0"/>
              <w:rPr>
                <w:sz w:val="1"/>
                <w:szCs w:val="1"/>
                <w:color w:val="auto"/>
              </w:rPr>
            </w:pPr>
          </w:p>
        </w:tc>
      </w:tr>
      <w:tr>
        <w:trPr>
          <w:trHeight w:val="22"/>
        </w:trPr>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60" w:type="dxa"/>
            <w:vAlign w:val="bottom"/>
            <w:tcBorders>
              <w:right w:val="single" w:sz="8" w:color="CCEEFF"/>
            </w:tcBorders>
          </w:tcPr>
          <w:p>
            <w:pPr>
              <w:spacing w:after="0"/>
              <w:rPr>
                <w:sz w:val="13"/>
                <w:szCs w:val="13"/>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468,433</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468,433</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2,355,516</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2,355,516</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1,027,919</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caps</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locks</w:t>
            </w: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4540" w:type="dxa"/>
            <w:vAlign w:val="bottom"/>
            <w:gridSpan w:val="2"/>
          </w:tcPr>
          <w:p>
            <w:pPr>
              <w:ind w:left="500"/>
              <w:spacing w:after="0" w:line="118" w:lineRule="exact"/>
              <w:rPr>
                <w:sz w:val="20"/>
                <w:szCs w:val="20"/>
                <w:color w:val="auto"/>
              </w:rPr>
            </w:pPr>
            <w:r>
              <w:rPr>
                <w:rFonts w:ascii="Times New Roman" w:cs="Times New Roman" w:eastAsia="Times New Roman" w:hAnsi="Times New Roman"/>
                <w:sz w:val="13"/>
                <w:szCs w:val="13"/>
                <w:color w:val="auto"/>
              </w:rPr>
              <w:t>Total assets measured at fair value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4,288,682</w:t>
            </w:r>
          </w:p>
        </w:tc>
        <w:tc>
          <w:tcPr>
            <w:tcW w:w="100" w:type="dxa"/>
            <w:vAlign w:val="bottom"/>
          </w:tcPr>
          <w:p>
            <w:pPr>
              <w:spacing w:after="0"/>
              <w:rPr>
                <w:sz w:val="10"/>
                <w:szCs w:val="10"/>
                <w:color w:val="auto"/>
              </w:rPr>
            </w:pPr>
          </w:p>
        </w:tc>
        <w:tc>
          <w:tcPr>
            <w:tcW w:w="15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4,288,682</w:t>
            </w:r>
          </w:p>
        </w:tc>
        <w:tc>
          <w:tcPr>
            <w:tcW w:w="100" w:type="dxa"/>
            <w:vAlign w:val="bottom"/>
          </w:tcPr>
          <w:p>
            <w:pPr>
              <w:spacing w:after="0"/>
              <w:rPr>
                <w:sz w:val="10"/>
                <w:szCs w:val="10"/>
                <w:color w:val="auto"/>
              </w:rPr>
            </w:pPr>
          </w:p>
        </w:tc>
        <w:tc>
          <w:tcPr>
            <w:tcW w:w="17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45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on a recurring basis</w:t>
            </w:r>
          </w:p>
        </w:tc>
        <w:tc>
          <w:tcPr>
            <w:tcW w:w="1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5"/>
              </w:rPr>
              <w:t>113</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Fair Value Measurements</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center"/>
              <w:ind w:right="1010"/>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Significant</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290"/>
              <w:spacing w:after="0" w:line="138" w:lineRule="exact"/>
              <w:rPr>
                <w:sz w:val="20"/>
                <w:szCs w:val="20"/>
                <w:color w:val="auto"/>
              </w:rPr>
            </w:pPr>
            <w:r>
              <w:rPr>
                <w:rFonts w:ascii="Times New Roman" w:cs="Times New Roman" w:eastAsia="Times New Roman" w:hAnsi="Times New Roman"/>
                <w:sz w:val="14"/>
                <w:szCs w:val="14"/>
                <w:color w:val="auto"/>
              </w:rPr>
              <w:t>in Active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310"/>
              <w:spacing w:after="0" w:line="149" w:lineRule="exact"/>
              <w:rPr>
                <w:sz w:val="20"/>
                <w:szCs w:val="20"/>
                <w:color w:val="auto"/>
              </w:rPr>
            </w:pPr>
            <w:r>
              <w:rPr>
                <w:rFonts w:ascii="Times New Roman" w:cs="Times New Roman" w:eastAsia="Times New Roman" w:hAnsi="Times New Roman"/>
                <w:sz w:val="14"/>
                <w:szCs w:val="14"/>
                <w:color w:val="auto"/>
              </w:rPr>
              <w:t>Markets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310"/>
              <w:spacing w:after="0" w:line="138" w:lineRule="exact"/>
              <w:rPr>
                <w:sz w:val="20"/>
                <w:szCs w:val="20"/>
                <w:color w:val="auto"/>
              </w:rPr>
            </w:pPr>
            <w:r>
              <w:rPr>
                <w:rFonts w:ascii="Times New Roman" w:cs="Times New Roman" w:eastAsia="Times New Roman" w:hAnsi="Times New Roman"/>
                <w:sz w:val="14"/>
                <w:szCs w:val="14"/>
                <w:color w:val="auto"/>
              </w:rPr>
              <w:t>for Identical</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December 31,</w:t>
            </w:r>
          </w:p>
        </w:tc>
        <w:tc>
          <w:tcPr>
            <w:tcW w:w="1080" w:type="dxa"/>
            <w:vAlign w:val="bottom"/>
          </w:tcPr>
          <w:p>
            <w:pPr>
              <w:jc w:val="center"/>
              <w:ind w:left="31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320" w:type="dxa"/>
            <w:vAlign w:val="bottom"/>
          </w:tcPr>
          <w:p>
            <w:pPr>
              <w:spacing w:after="0"/>
              <w:rPr>
                <w:sz w:val="11"/>
                <w:szCs w:val="11"/>
                <w:color w:val="auto"/>
              </w:rPr>
            </w:pPr>
          </w:p>
        </w:tc>
        <w:tc>
          <w:tcPr>
            <w:tcW w:w="1120" w:type="dxa"/>
            <w:vAlign w:val="bottom"/>
          </w:tcPr>
          <w:p>
            <w:pPr>
              <w:jc w:val="right"/>
              <w:ind w:right="510"/>
              <w:spacing w:after="0" w:line="118"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1"/>
                <w:szCs w:val="11"/>
                <w:color w:val="auto"/>
              </w:rPr>
            </w:pPr>
          </w:p>
        </w:tc>
        <w:tc>
          <w:tcPr>
            <w:tcW w:w="1080" w:type="dxa"/>
            <w:vAlign w:val="bottom"/>
          </w:tcPr>
          <w:p>
            <w:pPr>
              <w:jc w:val="center"/>
              <w:ind w:left="290"/>
              <w:spacing w:after="0" w:line="118" w:lineRule="exact"/>
              <w:rPr>
                <w:sz w:val="20"/>
                <w:szCs w:val="20"/>
                <w:color w:val="auto"/>
              </w:rPr>
            </w:pPr>
            <w:r>
              <w:rPr>
                <w:rFonts w:ascii="Times New Roman" w:cs="Times New Roman" w:eastAsia="Times New Roman" w:hAnsi="Times New Roman"/>
                <w:sz w:val="13"/>
                <w:szCs w:val="13"/>
                <w:color w:val="auto"/>
              </w:rPr>
              <w:t>(Level 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(Level 2)</w:t>
            </w: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color w:val="auto"/>
              </w:rPr>
              <w:t>(Level 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government and federal agency</w:t>
            </w: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455,347</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455,347</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government sponsored enterprises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299,219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299,219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State and local governments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98,932</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Corporate bonds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2,811,263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2,811,263</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1,094,705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1,094,705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15,691</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caps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locks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14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assets measured at fair value on a recurring basis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4,807,004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4,807,004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TBA hedge</w:t>
            </w: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tcBorders>
              <w:top w:val="single" w:sz="8" w:color="CCEEFF"/>
            </w:tcBorders>
            <w:gridSpan w:val="2"/>
            <w:vMerge w:val="continue"/>
          </w:tcPr>
          <w:p>
            <w:pPr>
              <w:spacing w:after="0"/>
              <w:rPr>
                <w:sz w:val="12"/>
                <w:szCs w:val="12"/>
                <w:color w:val="auto"/>
              </w:rPr>
            </w:pPr>
          </w:p>
        </w:tc>
        <w:tc>
          <w:tcPr>
            <w:tcW w:w="3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2"/>
                <w:szCs w:val="12"/>
                <w:color w:val="auto"/>
              </w:rPr>
            </w:pPr>
          </w:p>
        </w:tc>
        <w:tc>
          <w:tcPr>
            <w:tcW w:w="1460" w:type="dxa"/>
            <w:vAlign w:val="bottom"/>
            <w:tcBorders>
              <w:top w:val="single" w:sz="8" w:color="auto"/>
            </w:tcBorders>
          </w:tcPr>
          <w:p>
            <w:pPr>
              <w:ind w:left="12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liabilities measured at fair value on a recurring basis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18,338</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18,338</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Non-recurring Measurements</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December 31, 2024.</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real estate owned. </w:t>
      </w:r>
      <w:r>
        <w:rPr>
          <w:rFonts w:ascii="Times New Roman" w:cs="Times New Roman" w:eastAsia="Times New Roman" w:hAnsi="Times New Roman"/>
          <w:sz w:val="14"/>
          <w:szCs w:val="14"/>
          <w:color w:val="auto"/>
        </w:rPr>
        <w:t>OREO is initially recorded at fair value less estimated cost to sell, establishing a new cost basis. OREO is subsequently accounted for at lower of cost or fair value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estimated cost to sell. Estimated fair value of OREO is based on appraisals or evaluations (new or updated). OREO is classified within Level 3 of the fair value hierarchy.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Collateral-dependent loans, net of ACL. </w:t>
      </w:r>
      <w:r>
        <w:rPr>
          <w:rFonts w:ascii="Times New Roman" w:cs="Times New Roman" w:eastAsia="Times New Roman" w:hAnsi="Times New Roman"/>
          <w:sz w:val="14"/>
          <w:szCs w:val="14"/>
          <w:color w:val="auto"/>
        </w:rPr>
        <w:t>Fair value estimates of collateral-dependent loans that are individually reviewed are based on the fair value of the collateral, less estimated cost to sell.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Collateral-dependent individually reviewed loans are classified within Level 3 of the fair value hierarchy.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7"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color w:val="auto"/>
        </w:rPr>
        <w:t>The following tables disclose the fair value measurement of assets with a recorded change during the period resulting from re-measuring the assets at fair value on a non-recurring basis: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w w:val="99"/>
              </w:rPr>
              <w:t>Fair Value Measurements</w:t>
            </w: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Significant</w:t>
            </w: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rPr>
              <w:t>in Active</w:t>
            </w:r>
          </w:p>
        </w:tc>
        <w:tc>
          <w:tcPr>
            <w:tcW w:w="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Markets</w:t>
            </w:r>
          </w:p>
        </w:tc>
        <w:tc>
          <w:tcPr>
            <w:tcW w:w="2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for Identical</w:t>
            </w:r>
          </w:p>
        </w:tc>
        <w:tc>
          <w:tcPr>
            <w:tcW w:w="20" w:type="dxa"/>
            <w:vAlign w:val="bottom"/>
          </w:tcPr>
          <w:p>
            <w:pPr>
              <w:spacing w:after="0"/>
              <w:rPr>
                <w:sz w:val="11"/>
                <w:szCs w:val="11"/>
                <w:color w:val="auto"/>
              </w:rPr>
            </w:pPr>
          </w:p>
        </w:tc>
        <w:tc>
          <w:tcPr>
            <w:tcW w:w="154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2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December 31,</w:t>
            </w:r>
          </w:p>
        </w:tc>
        <w:tc>
          <w:tcPr>
            <w:tcW w:w="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2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5120" w:type="dxa"/>
            <w:vAlign w:val="bottom"/>
            <w:gridSpan w:val="3"/>
          </w:tcPr>
          <w:p>
            <w:pPr>
              <w:spacing w:after="0" w:line="118" w:lineRule="exact"/>
              <w:rPr>
                <w:sz w:val="20"/>
                <w:szCs w:val="20"/>
                <w:color w:val="auto"/>
              </w:rPr>
            </w:pPr>
            <w:r>
              <w:rPr>
                <w:rFonts w:ascii="Times New Roman" w:cs="Times New Roman" w:eastAsia="Times New Roman" w:hAnsi="Times New Roman"/>
                <w:sz w:val="11"/>
                <w:szCs w:val="11"/>
                <w:color w:val="auto"/>
              </w:rPr>
              <w:t>(Dollars in thousands)</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jc w:val="right"/>
              <w:ind w:right="510"/>
              <w:spacing w:after="0" w:line="118" w:lineRule="exact"/>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color w:val="auto"/>
              </w:rPr>
              <w:t>(Level 1)</w:t>
            </w:r>
          </w:p>
        </w:tc>
        <w:tc>
          <w:tcPr>
            <w:tcW w:w="20" w:type="dxa"/>
            <w:vAlign w:val="bottom"/>
          </w:tcPr>
          <w:p>
            <w:pPr>
              <w:spacing w:after="0"/>
              <w:rPr>
                <w:sz w:val="11"/>
                <w:szCs w:val="11"/>
                <w:color w:val="auto"/>
              </w:rPr>
            </w:pPr>
          </w:p>
        </w:tc>
        <w:tc>
          <w:tcPr>
            <w:tcW w:w="154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(Level 2)</w:t>
            </w:r>
          </w:p>
        </w:tc>
        <w:tc>
          <w:tcPr>
            <w:tcW w:w="20" w:type="dxa"/>
            <w:vAlign w:val="bottom"/>
          </w:tcPr>
          <w:p>
            <w:pPr>
              <w:spacing w:after="0"/>
              <w:rPr>
                <w:sz w:val="11"/>
                <w:szCs w:val="11"/>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Collateral-dependent impaired loans, net of ACL</w:t>
            </w: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Total assets measured at fair value on a non-recurring basis</w:t>
            </w: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Fair Value Measurements</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Significant</w:t>
            </w: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in Active</w:t>
            </w:r>
          </w:p>
        </w:tc>
        <w:tc>
          <w:tcPr>
            <w:tcW w:w="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Markets</w:t>
            </w:r>
          </w:p>
        </w:tc>
        <w:tc>
          <w:tcPr>
            <w:tcW w:w="20" w:type="dxa"/>
            <w:vAlign w:val="bottom"/>
          </w:tcPr>
          <w:p>
            <w:pPr>
              <w:spacing w:after="0"/>
              <w:rPr>
                <w:sz w:val="12"/>
                <w:szCs w:val="12"/>
                <w:color w:val="auto"/>
              </w:rPr>
            </w:pPr>
          </w:p>
        </w:tc>
        <w:tc>
          <w:tcPr>
            <w:tcW w:w="15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Fair Value December 31,</w:t>
            </w: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8"/>
              </w:rPr>
              <w:t>for Identical</w:t>
            </w:r>
          </w:p>
        </w:tc>
        <w:tc>
          <w:tcPr>
            <w:tcW w:w="20" w:type="dxa"/>
            <w:vAlign w:val="bottom"/>
          </w:tcPr>
          <w:p>
            <w:pPr>
              <w:spacing w:after="0"/>
              <w:rPr>
                <w:sz w:val="11"/>
                <w:szCs w:val="11"/>
                <w:color w:val="auto"/>
              </w:rPr>
            </w:pPr>
          </w:p>
        </w:tc>
        <w:tc>
          <w:tcPr>
            <w:tcW w:w="154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2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8"/>
              </w:rPr>
              <w:t>Assets</w:t>
            </w:r>
          </w:p>
        </w:tc>
        <w:tc>
          <w:tcPr>
            <w:tcW w:w="20" w:type="dxa"/>
            <w:vAlign w:val="bottom"/>
          </w:tcPr>
          <w:p>
            <w:pPr>
              <w:spacing w:after="0"/>
              <w:rPr>
                <w:sz w:val="11"/>
                <w:szCs w:val="11"/>
                <w:color w:val="auto"/>
              </w:rPr>
            </w:pPr>
          </w:p>
        </w:tc>
        <w:tc>
          <w:tcPr>
            <w:tcW w:w="154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7"/>
              </w:rPr>
              <w:t>Inputs</w:t>
            </w:r>
          </w:p>
        </w:tc>
        <w:tc>
          <w:tcPr>
            <w:tcW w:w="2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90"/>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(Level 1)</w:t>
            </w:r>
          </w:p>
        </w:tc>
        <w:tc>
          <w:tcPr>
            <w:tcW w:w="20" w:type="dxa"/>
            <w:vAlign w:val="bottom"/>
          </w:tcPr>
          <w:p>
            <w:pPr>
              <w:spacing w:after="0"/>
              <w:rPr>
                <w:sz w:val="12"/>
                <w:szCs w:val="12"/>
                <w:color w:val="auto"/>
              </w:rPr>
            </w:pPr>
          </w:p>
        </w:tc>
        <w:tc>
          <w:tcPr>
            <w:tcW w:w="154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color w:val="auto"/>
              </w:rPr>
              <w:t>(Level 2)</w:t>
            </w:r>
          </w:p>
        </w:tc>
        <w:tc>
          <w:tcPr>
            <w:tcW w:w="20" w:type="dxa"/>
            <w:vAlign w:val="bottom"/>
          </w:tcPr>
          <w:p>
            <w:pPr>
              <w:spacing w:after="0"/>
              <w:rPr>
                <w:sz w:val="12"/>
                <w:szCs w:val="12"/>
                <w:color w:val="auto"/>
              </w:rPr>
            </w:pPr>
          </w:p>
        </w:tc>
        <w:tc>
          <w:tcPr>
            <w:tcW w:w="14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Collateral-dependent impaired loans, net of ACL</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540" w:type="dxa"/>
            <w:vAlign w:val="bottom"/>
            <w:gridSpan w:val="3"/>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2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assets measured at fair value on a non-recurring basis</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Non-recurring Measurements Using Significant Unobservable Inputs (Level 3)</w:t>
      </w:r>
    </w:p>
    <w:p>
      <w:pPr>
        <w:spacing w:after="0" w:line="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The following tables present additional quantitative information about assets measured at fair value on a non-recurring basis and for which the Company has utilized Level 3 inputs to determine fair value: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Fair Value</w:t>
            </w:r>
          </w:p>
        </w:tc>
        <w:tc>
          <w:tcPr>
            <w:tcW w:w="10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5"/>
          </w:tcPr>
          <w:p>
            <w:pPr>
              <w:jc w:val="right"/>
              <w:ind w:right="1731"/>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10"/>
              <w:spacing w:after="0" w:line="125" w:lineRule="exact"/>
              <w:rPr>
                <w:sz w:val="20"/>
                <w:szCs w:val="20"/>
                <w:color w:val="auto"/>
              </w:rPr>
            </w:pPr>
            <w:r>
              <w:rPr>
                <w:rFonts w:ascii="Times New Roman" w:cs="Times New Roman" w:eastAsia="Times New Roman" w:hAnsi="Times New Roman"/>
                <w:sz w:val="14"/>
                <w:szCs w:val="14"/>
                <w:color w:val="auto"/>
                <w:w w:val="99"/>
              </w:rPr>
              <w:t>December 31,</w:t>
            </w: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160" w:type="dxa"/>
            <w:vAlign w:val="bottom"/>
          </w:tcPr>
          <w:p>
            <w:pPr>
              <w:jc w:val="center"/>
              <w:ind w:right="130"/>
              <w:spacing w:after="0" w:line="122"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800" w:type="dxa"/>
            <w:vAlign w:val="bottom"/>
          </w:tcPr>
          <w:p>
            <w:pPr>
              <w:ind w:left="620"/>
              <w:spacing w:after="0" w:line="122" w:lineRule="exact"/>
              <w:rPr>
                <w:sz w:val="20"/>
                <w:szCs w:val="20"/>
                <w:color w:val="auto"/>
              </w:rPr>
            </w:pPr>
            <w:r>
              <w:rPr>
                <w:rFonts w:ascii="Times New Roman" w:cs="Times New Roman" w:eastAsia="Times New Roman" w:hAnsi="Times New Roman"/>
                <w:sz w:val="14"/>
                <w:szCs w:val="14"/>
                <w:color w:val="auto"/>
                <w:w w:val="98"/>
              </w:rPr>
              <w:t>Valuation Technique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4"/>
                <w:szCs w:val="14"/>
                <w:color w:val="auto"/>
              </w:rPr>
              <w:t>Unobservable Input</w:t>
            </w:r>
          </w:p>
        </w:tc>
        <w:tc>
          <w:tcPr>
            <w:tcW w:w="2280" w:type="dxa"/>
            <w:vAlign w:val="bottom"/>
          </w:tcPr>
          <w:p>
            <w:pPr>
              <w:jc w:val="right"/>
              <w:ind w:right="251"/>
              <w:spacing w:after="0" w:line="122" w:lineRule="exact"/>
              <w:rPr>
                <w:sz w:val="20"/>
                <w:szCs w:val="20"/>
                <w:color w:val="auto"/>
              </w:rPr>
            </w:pPr>
            <w:r>
              <w:rPr>
                <w:rFonts w:ascii="Times New Roman" w:cs="Times New Roman" w:eastAsia="Times New Roman" w:hAnsi="Times New Roman"/>
                <w:sz w:val="11"/>
                <w:szCs w:val="11"/>
                <w:color w:val="auto"/>
              </w:rPr>
              <w:t xml:space="preserve">Range (Weighted- Average) </w:t>
            </w:r>
            <w:r>
              <w:rPr>
                <w:rFonts w:ascii="Times New Roman" w:cs="Times New Roman" w:eastAsia="Times New Roman" w:hAnsi="Times New Roman"/>
                <w:sz w:val="14"/>
                <w:szCs w:val="14"/>
                <w:color w:val="auto"/>
                <w:vertAlign w:val="superscript"/>
              </w:rPr>
              <w:t>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Collateral-dependent</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impaired loans, net of ACL</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approach</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2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99"/>
              </w:rPr>
              <w:t>10.0% - 10.0% (10.0%)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comparison approach</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28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99"/>
              </w:rPr>
              <w:t>10.0% - 20.0% (15.9%)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Combined approach</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2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99"/>
              </w:rPr>
              <w:t>10.0% - 10.0% (10.0%)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Fair Value</w:t>
            </w:r>
          </w:p>
        </w:tc>
        <w:tc>
          <w:tcPr>
            <w:tcW w:w="10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5"/>
          </w:tcPr>
          <w:p>
            <w:pPr>
              <w:jc w:val="right"/>
              <w:ind w:right="1731"/>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10"/>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 xml:space="preserve">Range (Weighted- Average)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2"/>
                <w:szCs w:val="12"/>
                <w:color w:val="auto"/>
              </w:rPr>
            </w:pPr>
          </w:p>
        </w:tc>
        <w:tc>
          <w:tcPr>
            <w:tcW w:w="1160" w:type="dxa"/>
            <w:vAlign w:val="bottom"/>
          </w:tcPr>
          <w:p>
            <w:pPr>
              <w:jc w:val="center"/>
              <w:ind w:right="130"/>
              <w:spacing w:after="0" w:line="129"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2"/>
                <w:szCs w:val="12"/>
                <w:color w:val="auto"/>
              </w:rPr>
            </w:pPr>
          </w:p>
        </w:tc>
        <w:tc>
          <w:tcPr>
            <w:tcW w:w="1800" w:type="dxa"/>
            <w:vAlign w:val="bottom"/>
          </w:tcPr>
          <w:p>
            <w:pPr>
              <w:ind w:left="620"/>
              <w:spacing w:after="0" w:line="129" w:lineRule="exact"/>
              <w:rPr>
                <w:sz w:val="20"/>
                <w:szCs w:val="20"/>
                <w:color w:val="auto"/>
              </w:rPr>
            </w:pPr>
            <w:r>
              <w:rPr>
                <w:rFonts w:ascii="Times New Roman" w:cs="Times New Roman" w:eastAsia="Times New Roman" w:hAnsi="Times New Roman"/>
                <w:sz w:val="14"/>
                <w:szCs w:val="14"/>
                <w:color w:val="auto"/>
                <w:w w:val="98"/>
              </w:rPr>
              <w:t>Valuation Technique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ind w:left="640"/>
              <w:spacing w:after="0" w:line="129" w:lineRule="exact"/>
              <w:rPr>
                <w:sz w:val="20"/>
                <w:szCs w:val="20"/>
                <w:color w:val="auto"/>
              </w:rPr>
            </w:pPr>
            <w:r>
              <w:rPr>
                <w:rFonts w:ascii="Times New Roman" w:cs="Times New Roman" w:eastAsia="Times New Roman" w:hAnsi="Times New Roman"/>
                <w:sz w:val="14"/>
                <w:szCs w:val="14"/>
                <w:color w:val="auto"/>
              </w:rPr>
              <w:t>Unobservable Input</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Collateral-dependent impaired loans, net of</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ACL</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approach</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2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99"/>
              </w:rPr>
              <w:t>10.0% - 10.0% (10.0%)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comparison approach</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w:t>
            </w:r>
          </w:p>
        </w:tc>
        <w:tc>
          <w:tcPr>
            <w:tcW w:w="2280" w:type="dxa"/>
            <w:vAlign w:val="bottom"/>
            <w:tcBorders>
              <w:bottom w:val="single" w:sz="8" w:color="CCEEFF"/>
            </w:tcBorders>
          </w:tcPr>
          <w:p>
            <w:pPr>
              <w:jc w:val="right"/>
              <w:ind w:right="871"/>
              <w:spacing w:after="0"/>
              <w:rPr>
                <w:sz w:val="20"/>
                <w:szCs w:val="20"/>
                <w:color w:val="auto"/>
              </w:rPr>
            </w:pPr>
            <w:r>
              <w:rPr>
                <w:rFonts w:ascii="Times New Roman" w:cs="Times New Roman" w:eastAsia="Times New Roman" w:hAnsi="Times New Roman"/>
                <w:sz w:val="14"/>
                <w:szCs w:val="14"/>
                <w:color w:val="auto"/>
                <w:w w:val="99"/>
              </w:rPr>
              <w:t>10.0% - 10.0% (10.0%)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4" w:lineRule="exact"/>
        <w:rPr>
          <w:sz w:val="20"/>
          <w:szCs w:val="20"/>
          <w:color w:val="auto"/>
        </w:rPr>
      </w:pPr>
    </w:p>
    <w:p>
      <w:pPr>
        <w:ind w:left="80" w:hanging="75"/>
        <w:spacing w:after="0"/>
        <w:tabs>
          <w:tab w:leader="none" w:pos="8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 range for selling cost inputs represents reductions to the fair value of the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auto"/>
        </w:rPr>
        <w:t>Fair Value of Financial Instruments</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There have been no significant changes in the valuation techniques during the period ended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fair value is estimated at book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Debt securities, held-to-maturity: </w:t>
      </w:r>
      <w:r>
        <w:rPr>
          <w:rFonts w:ascii="Times New Roman" w:cs="Times New Roman" w:eastAsia="Times New Roman" w:hAnsi="Times New Roman"/>
          <w:sz w:val="14"/>
          <w:szCs w:val="14"/>
          <w:color w:val="auto"/>
        </w:rPr>
        <w:t>fair value for held-to-maturity debt securities is estimated in the same manner as available-for sale debt securities, which is described above.</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Loans receivable, net of ACL: </w:t>
      </w:r>
      <w:r>
        <w:rPr>
          <w:rFonts w:ascii="Times New Roman" w:cs="Times New Roman" w:eastAsia="Times New Roman" w:hAnsi="Times New Roman"/>
          <w:sz w:val="14"/>
          <w:szCs w:val="14"/>
          <w:color w:val="auto"/>
        </w:rPr>
        <w:t>The loans were fair valued on an individual basis, with consideration given to the loans' underlying characteristics, including account types, remaining terms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Term Deposits: </w:t>
      </w:r>
      <w:r>
        <w:rPr>
          <w:rFonts w:ascii="Times New Roman" w:cs="Times New Roman" w:eastAsia="Times New Roman" w:hAnsi="Times New Roman"/>
          <w:sz w:val="14"/>
          <w:szCs w:val="14"/>
          <w:color w:val="auto"/>
        </w:rPr>
        <w:t>fair value of term deposits is estimated by discounting the future cash flows using rates of similar deposits with similar maturities. The market rates used were obtained from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independent third party based on current rates offered by the Company’s regional competitors.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FHLB advances: </w:t>
      </w:r>
      <w:r>
        <w:rPr>
          <w:rFonts w:ascii="Times New Roman" w:cs="Times New Roman" w:eastAsia="Times New Roman" w:hAnsi="Times New Roman"/>
          <w:sz w:val="14"/>
          <w:szCs w:val="14"/>
          <w:color w:val="auto"/>
        </w:rPr>
        <w:t>fair value of advances is estimated based on borrowing rates currently available to the Company for advances with similar terms and maturities.</w:t>
      </w:r>
    </w:p>
    <w:p>
      <w:pPr>
        <w:spacing w:after="0" w:line="200"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FRB borrowing: </w:t>
      </w:r>
      <w:r>
        <w:rPr>
          <w:rFonts w:ascii="Times New Roman" w:cs="Times New Roman" w:eastAsia="Times New Roman" w:hAnsi="Times New Roman"/>
          <w:sz w:val="14"/>
          <w:szCs w:val="14"/>
          <w:color w:val="auto"/>
        </w:rPr>
        <w:t>fair value of borrowings through the FRB is estimated based on borrowing rates currently available to the Company through the FRB Bank Term Funding facility with similar terms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maturities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Repurchase agreements and other borrowed funds: </w:t>
      </w:r>
      <w:r>
        <w:rPr>
          <w:rFonts w:ascii="Times New Roman" w:cs="Times New Roman" w:eastAsia="Times New Roman" w:hAnsi="Times New Roman"/>
          <w:sz w:val="14"/>
          <w:szCs w:val="14"/>
          <w:color w:val="auto"/>
        </w:rPr>
        <w:t>fair value of term repurchase agreements and other term borrowings is estimated based on current repurchase rates and borrowing rates currently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to the Company for repurchases and borrowings with similar terms and maturities. The estimated fair value for overnight repurchase agreements and other borrowings is book value.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Subordinated debentures: </w:t>
      </w:r>
      <w:r>
        <w:rPr>
          <w:rFonts w:ascii="Times New Roman" w:cs="Times New Roman" w:eastAsia="Times New Roman" w:hAnsi="Times New Roman"/>
          <w:sz w:val="14"/>
          <w:szCs w:val="14"/>
          <w:color w:val="auto"/>
        </w:rPr>
        <w:t>fair value of the subordinated debt is estimated by discounting the estimated future cash flows using current estimated market rates obtained from an independent third party.</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Off-balance sheet financial instruments: </w:t>
      </w:r>
      <w:r>
        <w:rPr>
          <w:rFonts w:ascii="Times New Roman" w:cs="Times New Roman" w:eastAsia="Times New Roman" w:hAnsi="Times New Roman"/>
          <w:sz w:val="14"/>
          <w:szCs w:val="14"/>
          <w:color w:val="auto"/>
        </w:rPr>
        <w:t>unused lines of credit and letters of credit represent the principal categories of off-balance sheet financial instruments. The fair value of commitments is 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Fair Value Measurements</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color w:val="auto"/>
              </w:rPr>
              <w:t>Significant</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in Active Markets</w:t>
            </w: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for Identical</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Carrying Amount</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Assets</w:t>
            </w:r>
          </w:p>
        </w:tc>
        <w:tc>
          <w:tcPr>
            <w:tcW w:w="8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Inputs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December 31, 2024</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(Level 2)</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Borders>
              <w:right w:val="single" w:sz="8" w:color="CCEEFF"/>
            </w:tcBorders>
          </w:tcPr>
          <w:p>
            <w:pPr>
              <w:spacing w:after="0"/>
              <w:rPr>
                <w:sz w:val="13"/>
                <w:szCs w:val="13"/>
                <w:color w:val="auto"/>
              </w:rPr>
            </w:pPr>
          </w:p>
        </w:tc>
        <w:tc>
          <w:tcPr>
            <w:tcW w:w="514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3,294,847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2,968,570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Loans receivable, net of ACL</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17,055,808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17,017,298</w:t>
            </w: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21,199,063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17,017,298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51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3,139,821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3,176,722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1,797,310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 agreements and other borrowed funds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1,860,816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1,860,816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Subordinated debentures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122,785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6,933,742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6,957,633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Fair Value Measurements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At the End of the Reporting Period Using</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rPr>
              <w:t>Quoted Prices</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color w:val="auto"/>
              </w:rPr>
              <w:t>Significant</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Active Markets</w:t>
            </w: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Carrying Amount</w:t>
            </w: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for Identical</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Observable</w:t>
            </w: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8"/>
              </w:rPr>
              <w:t>Assets</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w w:val="97"/>
              </w:rPr>
              <w:t>Inputs</w:t>
            </w: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9"/>
              </w:rPr>
              <w:t>December 31, 2023</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(Level 2)</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tcPr>
          <w:p>
            <w:pPr>
              <w:spacing w:after="0"/>
              <w:rPr>
                <w:sz w:val="13"/>
                <w:szCs w:val="13"/>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held-to-maturity</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3,502,411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3,180,194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Loans receivable, net of ACL</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16,005,325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16,133,681</w:t>
            </w: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20,862,078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3,180,194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16,133,681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51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2,915,393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2,955,521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FRB Bank Term Funding</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2,738,031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 agreements and other borrowed funds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1,568,545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1,568,545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Subordinated debentures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119,768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7,356,881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7,381,865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Note 22. Commitments and Contingent Liabilities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a party to financial instruments with off-balance sheet risk in the normal course of business to meet the financing needs of its customers. These financial instruments include commitments to extend credit and letters of credit, and involve, to varying degrees, elements of credit risk. The Company’s exposure to credit loss in the event of nonperformance by the other party to the financial instrument for commitments to extend credit is represented by the contractual amount of those instruments. The Company uses the same credit policies in making off-balance sheet commitments and conditional obligations as it does for on-balance sheet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Company had the following outstanding commitments: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Unused lines of credit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4,190,238</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4,079,511</w:t>
            </w: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Letters of credit</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97,830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82,827</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outstanding commitments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4,288,068</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4,162,338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a defendant in legal proceedings arising in the normal course of business. In the opinion of management, the disposition of pending litigation will not have a material affect on the Company’s consolidated financial position, results of operations or liquidity.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Mergers &amp; Acquisitions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January 31, 2024, the Company acquired 100% percent of the outstanding common stock of Community Financial Group, Inc. (“CFGW”) and its wholly-owned subsidiary, Wheatland Bank (“Wheatland”), a community bank based in Spokane, Washington. Wheatland provides banking services to individuals and businesses in Washington with locations in Chelan, Wenatchee, Ellensburg, Yakima, Quincy, Moses Lake, Pasco, Odessa, Davenport, Ritzville, and Spokane. Wheatland merged into the Bank and became a new bank division headquartered in Spokane and the Bank’s existing Washington-based division, North Cascades Bank, combined with the new Wheatland division. The preliminary value of the Wheatland acquisition was $93,156,000 and as part of the transaction, the Company issued 2,389,684 shares of its common stock and paid $771,000 in cash in exchange for all of Wheatland’s outstanding shares of common stock and options to purchase common stock. The fair value of the Company shares issued was determined on the basis of the closing market price of the Company’s common stock on the January 31, 2024 acquisition date. The excess of the preliminary fair value of consideration transferred over total identifiable net assets was recorded as goodwill. The goodwill arising from the acquisition consists largely of the synergies and economies of scale expected from combining the operations of the Bank and Wheatland. None of the goodwill is deductible for income tax purposes as the acquisition was accounted for as a tax-free exchange.</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July 19, 2024, the Bank completed its acquisition of six Montana branch banking offices of Rocky Mountain Bank (“RMB”) from HTLF Bank (”HTLF”). The RMB branches are located in Billings, Bozeman, Plentywood, Stevensville, and Whitehall. The RMB branches have joined Glacier Bank divisions operating in Montana. The Bank paid a premium of $25,238,000 for deposit relationships with balances of $396,690,000 and loans with balances of $271,569,000, and received cash of $102,019,000 from HTLF. The excess of the fair value of consideration transferred over total identified net assets was recorded as goodwill. The goodwill arising from the acquisition consist largely of the synergies and economies of scale expected from combining the operations of the Company and the acquired branches. The goodwill is deductible for income tax purposes because the acquisition was accounted for as a purchase of assets and assumption of liabilities for tax purposes.</w:t>
      </w: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assets and liabilities of Wheatland and RMB were recorded on the Company’s consolidated statements of financial condition at their preliminary estimated fair values as of the respective acquisition dates and the results of operations have been included in the Company’s consolidated statements of operations since those dates. The acquisitions constituted a business combination as defined in ASC Topic 805, Business Combinations. The Company determined fair values in accordance with the guidance provided in ASC Topic 820,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In many cases, the determination of these fair values require management to make estimates about discount rates, future expected cash flows, market conditions and other future events that are subjective in nature and subject to change, and actual results could differ materially.</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discloses the preliminary fair value estimates of the consideration transferred, the total identifiable net assets acquired and the resulting goodwill arising from the Wheatland and RMB branch acquisitions. The Company is continuing to obtain information to determine the fair values of assets acquired and liabilities assumed.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Wheatland</w:t>
            </w:r>
          </w:p>
        </w:tc>
        <w:tc>
          <w:tcPr>
            <w:tcW w:w="220" w:type="dxa"/>
            <w:vAlign w:val="bottom"/>
          </w:tcPr>
          <w:p>
            <w:pPr>
              <w:spacing w:after="0"/>
              <w:rPr>
                <w:sz w:val="13"/>
                <w:szCs w:val="13"/>
                <w:color w:val="auto"/>
              </w:rPr>
            </w:pPr>
          </w:p>
        </w:tc>
        <w:tc>
          <w:tcPr>
            <w:tcW w:w="13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RMB Branches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January 31,</w:t>
            </w: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80" w:type="dxa"/>
            <w:vAlign w:val="bottom"/>
          </w:tcPr>
          <w:p>
            <w:pPr>
              <w:spacing w:after="0"/>
              <w:rPr>
                <w:sz w:val="12"/>
                <w:szCs w:val="12"/>
                <w:color w:val="auto"/>
              </w:rPr>
            </w:pPr>
          </w:p>
        </w:tc>
        <w:tc>
          <w:tcPr>
            <w:tcW w:w="128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329"/>
              <w:spacing w:after="0" w:line="129" w:lineRule="exact"/>
              <w:rPr>
                <w:sz w:val="20"/>
                <w:szCs w:val="20"/>
                <w:color w:val="auto"/>
              </w:rPr>
            </w:pPr>
            <w:r>
              <w:rPr>
                <w:rFonts w:ascii="Times New Roman" w:cs="Times New Roman" w:eastAsia="Times New Roman" w:hAnsi="Times New Roman"/>
                <w:sz w:val="14"/>
                <w:szCs w:val="14"/>
                <w:color w:val="auto"/>
              </w:rPr>
              <w:t>July 19, 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Fair value of Company shares issued</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92,385</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consideration or deposit premium paid</w:t>
            </w: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Total fair value of consideration transferred</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93,156</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0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Identifiable assets acquired</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Debt securities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Loans receivable, net of ACL</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271,569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60" w:type="dxa"/>
            <w:vAlign w:val="bottom"/>
            <w:gridSpan w:val="2"/>
          </w:tcPr>
          <w:p>
            <w:pPr>
              <w:ind w:left="500"/>
              <w:spacing w:after="0" w:line="181" w:lineRule="exact"/>
              <w:rPr>
                <w:sz w:val="20"/>
                <w:szCs w:val="20"/>
                <w:color w:val="auto"/>
              </w:rPr>
            </w:pPr>
            <w:r>
              <w:rPr>
                <w:rFonts w:ascii="Times New Roman" w:cs="Times New Roman" w:eastAsia="Times New Roman" w:hAnsi="Times New Roman"/>
                <w:sz w:val="14"/>
                <w:szCs w:val="14"/>
                <w:color w:val="auto"/>
              </w:rPr>
              <w:t xml:space="preserve">Core deposit intangible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15,114</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06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4"/>
                <w:szCs w:val="14"/>
                <w:color w:val="auto"/>
              </w:rPr>
              <w:t>Total identifiable assets acquired</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739,559</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Liabilities assumed</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616,955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396,690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Borrowings</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684,549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403,052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06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4"/>
                <w:szCs w:val="14"/>
                <w:color w:val="auto"/>
              </w:rPr>
              <w:t>Total identifiable net assets (liabilities)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55,010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Goodwill recognized</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40" w:lineRule="exact"/>
        <w:rPr>
          <w:sz w:val="20"/>
          <w:szCs w:val="20"/>
          <w:color w:val="auto"/>
        </w:rPr>
      </w:pPr>
    </w:p>
    <w:p>
      <w:pPr>
        <w:ind w:left="80" w:hanging="75"/>
        <w:spacing w:after="0"/>
        <w:tabs>
          <w:tab w:leader="none" w:pos="80"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core deposit intangible for each of the acquisitions were determined to have an estimated life of </w:t>
      </w:r>
      <w:r>
        <w:rPr>
          <w:rFonts w:ascii="Times New Roman" w:cs="Times New Roman" w:eastAsia="Times New Roman" w:hAnsi="Times New Roman"/>
          <w:sz w:val="14"/>
          <w:szCs w:val="14"/>
          <w:color w:val="auto"/>
        </w:rPr>
        <w:t>10 years.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preliminary fair values of the Wheatland and the RMB branch assets acquired include loans with fair values of $452,740,000 and $271,569,000, respectively. The gross principal and contractual interest due under the loans acquired in Wheatland and RMB transactions were $468,882,000 and $288,920,000, respectively. The Company evaluated the loans at each respective acquisition date and determined there were PCD loans of $1,655,000 with an ACL of $3,000 related to the Wheatland acquisition, and no PCD loans from the RMB branch acquisition.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incurred $7,722,000 and $1,889,000 of expenses in connection with the Wheatland and RMB branch acquisitions during the year ended December 31, 2024, respectively. Mergers and acquisition expenses are included in other expense in the Company's consolidated statements of operations and consist of third-party costs and employee severance expenses.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income consisting of net interest income and non-interest income of the acquired operations of Wheatland was approximately $30,402,000 and net loss was approximately $6,205,000 from January 31, 2024 to December 31, 2024. Total income consisting of net interest income and non-interest income of the acquired branches of RMB was approximately $6,740,000 and net income was approximately $831,000 from July 19, 2024 to December 31, 2024. The following unaudited pro forma summary presents consolidated information of the Company as if the Wheatland and RMB branch acquisitions had occurred on January 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color w:val="auto"/>
                <w:w w:val="96"/>
              </w:rPr>
              <w:t>Year ended</w:t>
            </w:r>
          </w:p>
        </w:tc>
        <w:tc>
          <w:tcPr>
            <w:tcW w:w="1080" w:type="dxa"/>
            <w:vAlign w:val="bottom"/>
            <w:tcBorders>
              <w:bottom w:val="single" w:sz="8" w:color="auto"/>
            </w:tcBorders>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080" w:type="dxa"/>
            <w:vAlign w:val="bottom"/>
          </w:tcPr>
          <w:p>
            <w:pPr>
              <w:jc w:val="right"/>
              <w:ind w:right="209"/>
              <w:spacing w:after="0" w:line="129" w:lineRule="exact"/>
              <w:rPr>
                <w:sz w:val="20"/>
                <w:szCs w:val="20"/>
                <w:color w:val="auto"/>
              </w:rPr>
            </w:pPr>
            <w:r>
              <w:rPr>
                <w:rFonts w:ascii="Times New Roman" w:cs="Times New Roman" w:eastAsia="Times New Roman" w:hAnsi="Times New Roman"/>
                <w:sz w:val="14"/>
                <w:szCs w:val="14"/>
                <w:color w:val="auto"/>
                <w:w w:val="99"/>
              </w:rPr>
              <w:t>December 31,</w:t>
            </w: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80" w:type="dxa"/>
            <w:vAlign w:val="bottom"/>
          </w:tcPr>
          <w:p>
            <w:pPr>
              <w:spacing w:after="0"/>
              <w:rPr>
                <w:sz w:val="12"/>
                <w:szCs w:val="12"/>
                <w:color w:val="auto"/>
              </w:rPr>
            </w:pPr>
          </w:p>
        </w:tc>
        <w:tc>
          <w:tcPr>
            <w:tcW w:w="1160" w:type="dxa"/>
            <w:vAlign w:val="bottom"/>
          </w:tcPr>
          <w:p>
            <w:pPr>
              <w:jc w:val="right"/>
              <w:ind w:right="449"/>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69"/>
              <w:spacing w:after="0" w:line="149" w:lineRule="exact"/>
              <w:rPr>
                <w:sz w:val="20"/>
                <w:szCs w:val="20"/>
                <w:color w:val="auto"/>
              </w:rPr>
            </w:pPr>
            <w:r>
              <w:rPr>
                <w:rFonts w:ascii="Times New Roman" w:cs="Times New Roman" w:eastAsia="Times New Roman" w:hAnsi="Times New Roman"/>
                <w:sz w:val="14"/>
                <w:szCs w:val="14"/>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 and non-interest income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841,031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852,055</w:t>
            </w:r>
          </w:p>
        </w:tc>
      </w:tr>
      <w:tr>
        <w:trPr>
          <w:trHeight w:val="184"/>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239,301</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color w:val="auto"/>
        </w:rPr>
        <w:t>Note 24. Subsequent Event</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January 13, 2025, the Company announced the signing of a definitive agreement to acquire the Bank of Idaho Holding Co. (“BOID”) and its wholly-owned subsidiary Bank of Idaho, a community bank based in Idaho Falls, Idaho, collectively (“BOI”). BOI provides banking services to individuals and businesses with 15 branch locations throughout Eastern Idaho, Boise Metro and Eastern Washington. As of December 31, 2024, BOI had total assets of approximately $1,327,517,000, gross loans of approximately $1,032,706,000, and total deposits of approximately $1,119,372,000. The acquisition is subject to required regulatory and shareholder approvals and other customary conditions of closing and is anticipated to take place in the second quarter of 2025. Upon closing of the transaction, the branches of BOI will join existing operations of three existing Glacier Bank divisions. The Eastern Idaho operations of BOI will join Citizens Community Bank, the Boise operations will join Mountain West Bank, and the Eastern Washington operations will join Wheatland Bank. The purchase price is subject to adjustment and will be determined at closing.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or disagreements with accountants on accounting and financial disclosure.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An evaluation was carried out under the supervision and with the participation of the Company’s management, including the CEO and Chief Financial Officer (“CFO”), of the effectiveness of the disclosure controls and procedures. Based on that evaluation, the CEO and CFO have concluded that as of the end of the period covered by this report, the disclosure controls and procedures are effective to provide reasonable assurance that information required to be disclosed by the Company in reports that are filed or submitted under the Securities Exchange Act of 1934 are recorded, processed, summarized and timely reported as provided in the SEC’s rules and forms. As a result of this evaluation, there were no significant changes in the internal control over financial reporting during the year ended December 31, 2024 that have materially affected, or are reasonable likely to materially affect, the internal control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effective internal control over financial reporting as it relates to its financial statements presented in conformity with GAAP. The Company’s internal control system was designed to provide reasonable assurance to the Company’s management and Board of Directors regarding the preparation and fair presentation of published financial statements in accordance with GAAP. Internal control over financial reporting includes self-monitoring mechanisms and actions are taken to correct deficiencies as they are identified.</w:t>
      </w:r>
    </w:p>
    <w:p>
      <w:pPr>
        <w:spacing w:after="0" w:line="165"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There are inherent limitations in any internal control, no matter how well designed, misstatements due to error or fraud may occur and not be detected, including the possibility of circumvention or overriding of controls. Accordingly, even an effective internal control system can provide only reasonable assurance with respect to financial statement preparation. Further, because of changes in conditions, the effectiveness of an internal control system may vary over time.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assessed its internal control structure over financial reporting as of December 31, 2024. This assessment was based on criteria for effective internal control over financial reporting described in the “2013 Internal Control – Integrated Framework” issued by the Committee of Sponsoring Organizations of the Treadway Commission. Based on this assessment, management asserts that the Company maintained effective internal control over financial reporting as it relates to its financial statements presented in conformity with GAAP.</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Forvis Mazars, LLP, Denver, Colorado, (U.S. PCAOB Auditor Firm ID 686), the independent registered public accounting firm that audited the financial statements for the year ended December 31, 2024, has issued an audit report on the Company’s internal control over financial reporting. Such audit report expresses an unqualified opinion on the effectiveness of the Company’s internal control over financial reporting as of December 31, 2024 and is included in “Item 8. Financial Statements and Supplementary Data.”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 The Company entered into amended and restated employment agreements with Ryan Screnar and Lee Groom, effective as of February 20, 2025 (each, an "Executive"). In each case, the current agreements were amended to provide that any bonus payable on certain employment terminations related to a Change in Control of the Company, as defined in the agreements, will be calculated based on two times the sum of (a) Executive’s annualized base salary at the time of the termination and (b) the greater of (i) the full amount of the cash bonus earned by the Executive in the prior calendar year or (ii) the full amount of the target cash bonus that would be paid or payable in the year in which the termination occurs as if Executive and the Company had met all applicable financial goals. The original agreements had based the calculation on two times the Executive’s prior year’s W-2 income. The terms of each Executive’s employment agreement are otherwise unchanged. The amended and restated employment agreements for each Executive are filed as Exhibits [10(l)] and [10(m)] to this Annual Report on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None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Disclosures Regarding Foreign Jurisdictions that Prevent Inspections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“Directors and Executive Officers” is set forth under the headings “Election of Directors” and “Management – Named Executive Officers Who Are Not Directors” of the Company’s 2025 Annual Meeting Proxy Statement (“2025 Proxy Statement”) and is incorporated herein by reference.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the Company’s Corporate Governance, including the Audit Committee, is set forth under the headings of “Corporate Governance” and “Report of Audit Committee” in the Company’s 2025 Proxy Statement and is incorporated herein by reference.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adopted a Code of Ethics for Senior Financial Officers, a Director Code of Ethics and a Code of Ethics and Conduct applicable to all employees. Each of the codes is available electronically by visiting the Company’s website at www.glacierbancorp.com and clicking on “Governance Documents” or by writing to: Glacier Bancorp, Inc., Corporate Secretary, 49 Commons Loop, Kalispell, Montana 59901. Waivers of the applicable code for directors or executive officers are required to be approved by the Company’s Board of Directors. Information regarding any such waivers will be disclosed on a current report on Form 8-K within four business days after the waiver is approved.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“Executive Compensation” is set forth under the headings “Compensation of Directors,” “Compensation Discussion and Analysis” and “Executive Compensation Tables” of the Company’s 2025 Proxy Statement and is incorporated herein by reference, other than the subheading “Pay Versus Performance.”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the “Compensation and Human Capital Committee Report” is set forth under the heading “Report of Compensation and Human Capital Committee” of the Company’s 2025 Proxy Statement and is incorporated herein by reference.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“Security Ownership of Certain Beneficial Owners and Management and Related Stockholder Matters” is set forth under the headings “Voting Securities and Principal Holders Thereof,” and “Equity Compensation Plan Information” of the Company’s 2025 Proxy Statement and is incorporated herein by reference.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“Certain Relationships and Related Transactions, and Director Independence” is set forth under the headings “Transactions with Management” and “Corporate Governance – Director Independence” of the Company’s 2025 Proxy Statement and is incorporated herein by reference.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“Principal Accounting Fees and Services” is set forth under the heading “Auditors – Fees Paid to Independent Registered Public Accounting Firm” of the Company’s 2025 Proxy Statement and is incorporated herein by reference.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 of Financial Statements and Financial Statement Schedules</w:t>
      </w:r>
    </w:p>
    <w:p>
      <w:pPr>
        <w:spacing w:after="0" w:line="25" w:lineRule="exact"/>
        <w:rPr>
          <w:sz w:val="20"/>
          <w:szCs w:val="20"/>
          <w:color w:val="auto"/>
        </w:rPr>
      </w:pPr>
    </w:p>
    <w:p>
      <w:pPr>
        <w:ind w:left="300" w:hanging="295"/>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a part of this report:</w:t>
      </w:r>
    </w:p>
    <w:p>
      <w:pPr>
        <w:spacing w:after="0" w:line="8"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and</w:t>
      </w:r>
    </w:p>
    <w:p>
      <w:pPr>
        <w:spacing w:after="0" w:line="8"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required to be filed by Item 8 of this report.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following</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exhibits</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are</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required</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Item</w:t>
            </w: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601</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Regulation</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S-K</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are</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included</w:t>
            </w: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this</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Form</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1"/>
              </w:rPr>
              <w:t>10-K:</w:t>
            </w:r>
          </w:p>
        </w:tc>
      </w:tr>
      <w:tr>
        <w:trPr>
          <w:trHeight w:val="188"/>
        </w:trPr>
        <w:tc>
          <w:tcPr>
            <w:tcW w:w="12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bl>
    <w:p>
      <w:pPr>
        <w:spacing w:after="0" w:line="60" w:lineRule="exact"/>
        <w:rPr>
          <w:sz w:val="20"/>
          <w:szCs w:val="20"/>
          <w:color w:val="auto"/>
        </w:rPr>
      </w:pPr>
    </w:p>
    <w:p>
      <w:pPr>
        <w:sectPr>
          <w:pgSz w:w="11900" w:h="16838" w:orient="portrait"/>
          <w:cols w:equalWidth="0" w:num="1">
            <w:col w:w="11280"/>
          </w:cols>
          <w:pgMar w:left="300" w:top="634" w:right="319" w:bottom="1440" w:gutter="0" w:footer="0" w:header="0"/>
        </w:sectPr>
      </w:pPr>
    </w:p>
    <w:p>
      <w:pPr>
        <w:ind w:left="100"/>
        <w:spacing w:after="0"/>
        <w:rPr>
          <w:sz w:val="20"/>
          <w:szCs w:val="20"/>
          <w:color w:val="auto"/>
        </w:rPr>
      </w:pPr>
      <w:r>
        <w:rPr>
          <w:rFonts w:ascii="Times New Roman" w:cs="Times New Roman" w:eastAsia="Times New Roman" w:hAnsi="Times New Roman"/>
          <w:sz w:val="13"/>
          <w:szCs w:val="13"/>
          <w:color w:val="auto"/>
        </w:rPr>
        <w:t xml:space="preserve">3(a) </w:t>
      </w:r>
      <w:r>
        <w:rPr>
          <w:rFonts w:ascii="Times New Roman" w:cs="Times New Roman" w:eastAsia="Times New Roman" w:hAnsi="Times New Roman"/>
          <w:sz w:val="17"/>
          <w:szCs w:val="17"/>
          <w:color w:val="auto"/>
          <w:vertAlign w:val="superscript"/>
        </w:rPr>
        <w:t>1</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 xml:space="preserve">3(b) </w:t>
      </w:r>
      <w:r>
        <w:rPr>
          <w:rFonts w:ascii="Times New Roman" w:cs="Times New Roman" w:eastAsia="Times New Roman" w:hAnsi="Times New Roman"/>
          <w:sz w:val="17"/>
          <w:szCs w:val="17"/>
          <w:color w:val="auto"/>
          <w:vertAlign w:val="superscript"/>
        </w:rPr>
        <w:t>1</w:t>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 xml:space="preserve">4(a) </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u w:val="single" w:color="auto"/>
            <w:color w:val="0000FF"/>
          </w:rPr>
          <w:t>Restated Articles of Incorporation. Filed as Exhibit 3.1 to Form 10-Q filed on August 2, 2022</w:t>
        </w:r>
      </w:hyperlink>
      <w:r>
        <w:rPr>
          <w:rFonts w:ascii="Times New Roman" w:cs="Times New Roman" w:eastAsia="Times New Roman" w:hAnsi="Times New Roman"/>
          <w:sz w:val="14"/>
          <w:szCs w:val="14"/>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-119380</wp:posOffset>
            </wp:positionV>
            <wp:extent cx="7161530" cy="134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4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56">
        <w:r>
          <w:rPr>
            <w:rFonts w:ascii="Times New Roman" w:cs="Times New Roman" w:eastAsia="Times New Roman" w:hAnsi="Times New Roman"/>
            <w:sz w:val="14"/>
            <w:szCs w:val="14"/>
            <w:u w:val="single" w:color="auto"/>
            <w:color w:val="0000FF"/>
          </w:rPr>
          <w:t>Amended and Restated Bylaws. Filed as Exhibit 3.2 to Form 8-K filed on May 4, 2021.</w:t>
        </w:r>
      </w:hyperlink>
    </w:p>
    <w:p>
      <w:pPr>
        <w:spacing w:after="0" w:line="41" w:lineRule="exact"/>
        <w:rPr>
          <w:sz w:val="20"/>
          <w:szCs w:val="20"/>
          <w:color w:val="auto"/>
        </w:rPr>
      </w:pPr>
    </w:p>
    <w:p>
      <w:pPr>
        <w:ind w:right="320"/>
        <w:spacing w:after="0" w:line="247" w:lineRule="auto"/>
        <w:rPr>
          <w:rFonts w:ascii="Times New Roman" w:cs="Times New Roman" w:eastAsia="Times New Roman" w:hAnsi="Times New Roman"/>
          <w:sz w:val="14"/>
          <w:szCs w:val="14"/>
          <w:u w:val="single" w:color="auto"/>
          <w:color w:val="0000FF"/>
        </w:rPr>
      </w:pPr>
      <w:hyperlink r:id="rId157">
        <w:r>
          <w:rPr>
            <w:rFonts w:ascii="Times New Roman" w:cs="Times New Roman" w:eastAsia="Times New Roman" w:hAnsi="Times New Roman"/>
            <w:sz w:val="14"/>
            <w:szCs w:val="14"/>
            <w:u w:val="single" w:color="auto"/>
            <w:color w:val="0000FF"/>
          </w:rPr>
          <w:t>Description of Glacier Bancorp, Inc.’s Securities Registered Pursuant to Section 12 of the Securities Exchange Act Filed as Exhibit 4(a) to Form 10-Q filed on August 2,</w:t>
        </w:r>
      </w:hyperlink>
      <w:r>
        <w:rPr>
          <w:rFonts w:ascii="Times New Roman" w:cs="Times New Roman" w:eastAsia="Times New Roman" w:hAnsi="Times New Roman"/>
          <w:sz w:val="14"/>
          <w:szCs w:val="14"/>
          <w:u w:val="single" w:color="auto"/>
          <w:color w:val="0000FF"/>
        </w:rPr>
        <w:t xml:space="preserve"> </w:t>
      </w:r>
      <w:hyperlink r:id="rId157">
        <w:r>
          <w:rPr>
            <w:rFonts w:ascii="Times New Roman" w:cs="Times New Roman" w:eastAsia="Times New Roman" w:hAnsi="Times New Roman"/>
            <w:sz w:val="14"/>
            <w:szCs w:val="14"/>
            <w:u w:val="single" w:color="auto"/>
            <w:color w:val="0000FF"/>
          </w:rPr>
          <w:t>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-207010</wp:posOffset>
            </wp:positionV>
            <wp:extent cx="7161530" cy="208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80" w:space="720"/>
            <w:col w:w="9880"/>
          </w:cols>
          <w:pgMar w:left="300" w:top="634" w:right="31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 xml:space="preserve">10(a) </w:t>
      </w:r>
      <w:r>
        <w:rPr>
          <w:rFonts w:ascii="Times New Roman" w:cs="Times New Roman" w:eastAsia="Times New Roman" w:hAnsi="Times New Roman"/>
          <w:sz w:val="18"/>
          <w:szCs w:val="18"/>
          <w:color w:val="auto"/>
          <w:vertAlign w:val="superscript"/>
        </w:rPr>
        <w:t>1,2</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10(b) </w:t>
      </w:r>
      <w:r>
        <w:rPr>
          <w:rFonts w:ascii="Times New Roman" w:cs="Times New Roman" w:eastAsia="Times New Roman" w:hAnsi="Times New Roman"/>
          <w:sz w:val="18"/>
          <w:szCs w:val="18"/>
          <w:color w:val="auto"/>
          <w:vertAlign w:val="superscript"/>
        </w:rPr>
        <w:t>1,2</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10(c) </w:t>
      </w:r>
      <w:r>
        <w:rPr>
          <w:rFonts w:ascii="Times New Roman" w:cs="Times New Roman" w:eastAsia="Times New Roman" w:hAnsi="Times New Roman"/>
          <w:sz w:val="18"/>
          <w:szCs w:val="18"/>
          <w:color w:val="auto"/>
          <w:vertAlign w:val="superscript"/>
        </w:rPr>
        <w:t>1,2</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10(d) </w:t>
      </w:r>
      <w:r>
        <w:rPr>
          <w:rFonts w:ascii="Times New Roman" w:cs="Times New Roman" w:eastAsia="Times New Roman" w:hAnsi="Times New Roman"/>
          <w:sz w:val="18"/>
          <w:szCs w:val="18"/>
          <w:color w:val="auto"/>
          <w:vertAlign w:val="superscript"/>
        </w:rPr>
        <w:t>1,2</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10(e) </w:t>
      </w:r>
      <w:r>
        <w:rPr>
          <w:rFonts w:ascii="Times New Roman" w:cs="Times New Roman" w:eastAsia="Times New Roman" w:hAnsi="Times New Roman"/>
          <w:sz w:val="18"/>
          <w:szCs w:val="18"/>
          <w:color w:val="auto"/>
          <w:vertAlign w:val="superscript"/>
        </w:rPr>
        <w:t>1,2</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10(f) </w:t>
      </w:r>
      <w:r>
        <w:rPr>
          <w:rFonts w:ascii="Times New Roman" w:cs="Times New Roman" w:eastAsia="Times New Roman" w:hAnsi="Times New Roman"/>
          <w:sz w:val="18"/>
          <w:szCs w:val="18"/>
          <w:color w:val="auto"/>
          <w:vertAlign w:val="superscript"/>
        </w:rPr>
        <w:t>1,2</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10(g) </w:t>
      </w:r>
      <w:r>
        <w:rPr>
          <w:rFonts w:ascii="Times New Roman" w:cs="Times New Roman" w:eastAsia="Times New Roman" w:hAnsi="Times New Roman"/>
          <w:sz w:val="18"/>
          <w:szCs w:val="18"/>
          <w:color w:val="auto"/>
          <w:vertAlign w:val="superscript"/>
        </w:rPr>
        <w:t>1,2</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10(h) </w:t>
      </w:r>
      <w:r>
        <w:rPr>
          <w:rFonts w:ascii="Times New Roman" w:cs="Times New Roman" w:eastAsia="Times New Roman" w:hAnsi="Times New Roman"/>
          <w:sz w:val="18"/>
          <w:szCs w:val="18"/>
          <w:color w:val="auto"/>
          <w:vertAlign w:val="superscript"/>
        </w:rPr>
        <w:t>1,2</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10(i) </w:t>
      </w:r>
      <w:r>
        <w:rPr>
          <w:rFonts w:ascii="Times New Roman" w:cs="Times New Roman" w:eastAsia="Times New Roman" w:hAnsi="Times New Roman"/>
          <w:sz w:val="18"/>
          <w:szCs w:val="18"/>
          <w:color w:val="auto"/>
          <w:vertAlign w:val="superscript"/>
        </w:rPr>
        <w:t>1,2</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10(j) </w:t>
      </w:r>
      <w:r>
        <w:rPr>
          <w:rFonts w:ascii="Times New Roman" w:cs="Times New Roman" w:eastAsia="Times New Roman" w:hAnsi="Times New Roman"/>
          <w:sz w:val="18"/>
          <w:szCs w:val="18"/>
          <w:color w:val="auto"/>
          <w:vertAlign w:val="superscript"/>
        </w:rPr>
        <w:t>1,2</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10(k) </w:t>
      </w:r>
      <w:r>
        <w:rPr>
          <w:rFonts w:ascii="Times New Roman" w:cs="Times New Roman" w:eastAsia="Times New Roman" w:hAnsi="Times New Roman"/>
          <w:sz w:val="18"/>
          <w:szCs w:val="18"/>
          <w:color w:val="auto"/>
          <w:vertAlign w:val="superscript"/>
        </w:rPr>
        <w:t>1,2</w:t>
      </w:r>
    </w:p>
    <w:p>
      <w:pPr>
        <w:spacing w:after="0" w:line="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 xml:space="preserve">10(l) </w:t>
      </w:r>
      <w:r>
        <w:rPr>
          <w:rFonts w:ascii="Times New Roman" w:cs="Times New Roman" w:eastAsia="Times New Roman" w:hAnsi="Times New Roman"/>
          <w:sz w:val="18"/>
          <w:szCs w:val="18"/>
          <w:color w:val="auto"/>
          <w:vertAlign w:val="superscript"/>
        </w:rPr>
        <w:t>2</w:t>
      </w:r>
    </w:p>
    <w:p>
      <w:pPr>
        <w:ind w:left="100"/>
        <w:spacing w:after="0" w:line="221" w:lineRule="auto"/>
        <w:rPr>
          <w:sz w:val="20"/>
          <w:szCs w:val="20"/>
          <w:color w:val="auto"/>
        </w:rPr>
      </w:pPr>
      <w:r>
        <w:rPr>
          <w:rFonts w:ascii="Times New Roman" w:cs="Times New Roman" w:eastAsia="Times New Roman" w:hAnsi="Times New Roman"/>
          <w:sz w:val="13"/>
          <w:szCs w:val="13"/>
          <w:color w:val="auto"/>
        </w:rPr>
        <w:t xml:space="preserve">10(m) </w:t>
      </w:r>
      <w:r>
        <w:rPr>
          <w:rFonts w:ascii="Times New Roman" w:cs="Times New Roman" w:eastAsia="Times New Roman" w:hAnsi="Times New Roman"/>
          <w:sz w:val="17"/>
          <w:szCs w:val="17"/>
          <w:color w:val="auto"/>
          <w:vertAlign w:val="superscript"/>
        </w:rPr>
        <w:t>1,2</w:t>
      </w:r>
    </w:p>
    <w:p>
      <w:pPr>
        <w:ind w:left="100"/>
        <w:spacing w:after="0"/>
        <w:rPr>
          <w:sz w:val="20"/>
          <w:szCs w:val="20"/>
          <w:color w:val="auto"/>
        </w:rPr>
      </w:pPr>
      <w:r>
        <w:rPr>
          <w:rFonts w:ascii="Times New Roman" w:cs="Times New Roman" w:eastAsia="Times New Roman" w:hAnsi="Times New Roman"/>
          <w:sz w:val="14"/>
          <w:szCs w:val="14"/>
          <w:color w:val="auto"/>
        </w:rPr>
        <w:t>19</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21</w:t>
      </w:r>
    </w:p>
    <w:p>
      <w:pPr>
        <w:spacing w:after="0" w:line="5" w:lineRule="exact"/>
        <w:rPr>
          <w:sz w:val="20"/>
          <w:szCs w:val="20"/>
          <w:color w:val="auto"/>
        </w:rPr>
      </w:pPr>
    </w:p>
    <w:p>
      <w:pPr>
        <w:ind w:left="260" w:hanging="156"/>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vertAlign w:val="superscript"/>
        </w:rPr>
        <w:t>3</w:t>
      </w:r>
    </w:p>
    <w:p>
      <w:pPr>
        <w:ind w:left="100"/>
        <w:spacing w:after="0" w:line="209" w:lineRule="auto"/>
        <w:rPr>
          <w:sz w:val="20"/>
          <w:szCs w:val="20"/>
          <w:color w:val="auto"/>
        </w:rPr>
      </w:pPr>
      <w:r>
        <w:rPr>
          <w:rFonts w:ascii="Times New Roman" w:cs="Times New Roman" w:eastAsia="Times New Roman" w:hAnsi="Times New Roman"/>
          <w:sz w:val="14"/>
          <w:szCs w:val="14"/>
          <w:color w:val="auto"/>
        </w:rPr>
        <w:t xml:space="preserve">31.1 </w:t>
      </w:r>
      <w:r>
        <w:rPr>
          <w:rFonts w:ascii="Times New Roman" w:cs="Times New Roman" w:eastAsia="Times New Roman" w:hAnsi="Times New Roman"/>
          <w:sz w:val="18"/>
          <w:szCs w:val="18"/>
          <w:color w:val="auto"/>
          <w:vertAlign w:val="superscript"/>
        </w:rPr>
        <w:t>3</w:t>
      </w:r>
    </w:p>
    <w:p>
      <w:pPr>
        <w:ind w:left="100"/>
        <w:spacing w:after="0" w:line="209" w:lineRule="auto"/>
        <w:rPr>
          <w:sz w:val="20"/>
          <w:szCs w:val="20"/>
          <w:color w:val="auto"/>
        </w:rPr>
      </w:pPr>
      <w:r>
        <w:rPr>
          <w:rFonts w:ascii="Times New Roman" w:cs="Times New Roman" w:eastAsia="Times New Roman" w:hAnsi="Times New Roman"/>
          <w:sz w:val="14"/>
          <w:szCs w:val="14"/>
          <w:color w:val="auto"/>
        </w:rPr>
        <w:t xml:space="preserve">31.2 </w:t>
      </w:r>
      <w:r>
        <w:rPr>
          <w:rFonts w:ascii="Times New Roman" w:cs="Times New Roman" w:eastAsia="Times New Roman" w:hAnsi="Times New Roman"/>
          <w:sz w:val="18"/>
          <w:szCs w:val="18"/>
          <w:color w:val="auto"/>
          <w:vertAlign w:val="superscript"/>
        </w:rPr>
        <w:t>3</w:t>
      </w:r>
    </w:p>
    <w:p>
      <w:pPr>
        <w:ind w:left="280" w:hanging="176"/>
        <w:spacing w:after="0"/>
        <w:tabs>
          <w:tab w:leader="none" w:pos="2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vertAlign w:val="superscript"/>
        </w:rPr>
        <w:t>3</w:t>
      </w:r>
    </w:p>
    <w:p>
      <w:pPr>
        <w:spacing w:after="0" w:line="1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97.1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59">
        <w:r>
          <w:rPr>
            <w:rFonts w:ascii="Times New Roman" w:cs="Times New Roman" w:eastAsia="Times New Roman" w:hAnsi="Times New Roman"/>
            <w:sz w:val="14"/>
            <w:szCs w:val="14"/>
            <w:u w:val="single" w:color="auto"/>
            <w:color w:val="0000FF"/>
          </w:rPr>
          <w:t>Amended and Restated Deferred Compensation Plan effective January 1, 2008. Filed as Exhibit 10(c) to Form 10-K filed on March 2,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14605</wp:posOffset>
            </wp:positionV>
            <wp:extent cx="7161530" cy="134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Amended and Restated Supplemental Executive Retirement Agreement effective January 1, 2008. Filed as Exhibit 10(d) to Form 10-K filed on March 2, 2009.</w:t>
        </w:r>
      </w:hyperlink>
    </w:p>
    <w:p>
      <w:pPr>
        <w:spacing w:after="0" w:line="6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2">
        <w:r>
          <w:rPr>
            <w:rFonts w:ascii="Times New Roman" w:cs="Times New Roman" w:eastAsia="Times New Roman" w:hAnsi="Times New Roman"/>
            <w:sz w:val="14"/>
            <w:szCs w:val="14"/>
            <w:u w:val="single" w:color="auto"/>
            <w:color w:val="0000FF"/>
          </w:rPr>
          <w:t>Nonemployee Service Provider Deferred Compensation Plan effective July 25, 2012. Filed as Exhibit 10.1 to Form 8-K filed on October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28575</wp:posOffset>
            </wp:positionV>
            <wp:extent cx="7161530" cy="154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63"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4">
        <w:r>
          <w:rPr>
            <w:rFonts w:ascii="Times New Roman" w:cs="Times New Roman" w:eastAsia="Times New Roman" w:hAnsi="Times New Roman"/>
            <w:sz w:val="14"/>
            <w:szCs w:val="14"/>
            <w:u w:val="single" w:color="auto"/>
            <w:color w:val="0000FF"/>
          </w:rPr>
          <w:t>2015 Stock Incentive Plan. Filed as Exhibit 99.1 to Form S-8 Registration Statement (No. 333-204023) filed on May 8, 2015.</w:t>
        </w:r>
      </w:hyperlink>
    </w:p>
    <w:p>
      <w:pPr>
        <w:spacing w:after="0" w:line="7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5">
        <w:r>
          <w:rPr>
            <w:rFonts w:ascii="Times New Roman" w:cs="Times New Roman" w:eastAsia="Times New Roman" w:hAnsi="Times New Roman"/>
            <w:sz w:val="14"/>
            <w:szCs w:val="14"/>
            <w:u w:val="single" w:color="auto"/>
            <w:color w:val="0000FF"/>
          </w:rPr>
          <w:t>Form of Stock Option Award Agreement under 2015 Stock Incentive Plan. Filed as Exhibit 99.2 to Form S-8 Registration Statement (No. 333-204023) filed on May 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14605</wp:posOffset>
            </wp:positionV>
            <wp:extent cx="7161530" cy="134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Form of Restricted Share Units Award Agreement under 2015 Stock Incentive Plan. Filed as Exhibit 10(f) to Form 10-K filed on February 23, 2022.</w:t>
        </w:r>
      </w:hyperlink>
    </w:p>
    <w:p>
      <w:pPr>
        <w:spacing w:after="0" w:line="6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8">
        <w:r>
          <w:rPr>
            <w:rFonts w:ascii="Times New Roman" w:cs="Times New Roman" w:eastAsia="Times New Roman" w:hAnsi="Times New Roman"/>
            <w:sz w:val="14"/>
            <w:szCs w:val="14"/>
            <w:u w:val="single" w:color="auto"/>
            <w:color w:val="0000FF"/>
          </w:rPr>
          <w:t>2015 Short Term Incentive Plan. Filed as Exhibit 10(g) to Form 10-K filed on February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28575</wp:posOffset>
            </wp:positionV>
            <wp:extent cx="7161530" cy="134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0">
        <w:r>
          <w:rPr>
            <w:rFonts w:ascii="Times New Roman" w:cs="Times New Roman" w:eastAsia="Times New Roman" w:hAnsi="Times New Roman"/>
            <w:sz w:val="14"/>
            <w:szCs w:val="14"/>
            <w:u w:val="single" w:color="auto"/>
            <w:color w:val="0000FF"/>
          </w:rPr>
          <w:t>Heritage Bancorp 2010 Stock Compensation Plan. Filed as Exhibit 99.1 to Form S-8 Registration Statement (No. 333-233079) filed on August 7, 2019.</w:t>
        </w:r>
      </w:hyperlink>
    </w:p>
    <w:p>
      <w:pPr>
        <w:spacing w:after="0" w:line="6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1">
        <w:r>
          <w:rPr>
            <w:rFonts w:ascii="Times New Roman" w:cs="Times New Roman" w:eastAsia="Times New Roman" w:hAnsi="Times New Roman"/>
            <w:sz w:val="14"/>
            <w:szCs w:val="14"/>
            <w:u w:val="single" w:color="auto"/>
            <w:color w:val="0000FF"/>
          </w:rPr>
          <w:t>Employment Agreement effective March 5, 2018 between the Company and Randall M. Chesler. Filed as Exhibit 10.1 to Form 10-Q filed on May 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28575</wp:posOffset>
            </wp:positionV>
            <wp:extent cx="7161530" cy="134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3">
        <w:r>
          <w:rPr>
            <w:rFonts w:ascii="Times New Roman" w:cs="Times New Roman" w:eastAsia="Times New Roman" w:hAnsi="Times New Roman"/>
            <w:sz w:val="14"/>
            <w:szCs w:val="14"/>
            <w:u w:val="single" w:color="auto"/>
            <w:color w:val="0000FF"/>
          </w:rPr>
          <w:t>Employment Agreement effective March 5, 2018 between the Company and Ron J. Copher. Filed as Exhibit 10.2 to Form 10-Q filed on May 1, 2018.</w:t>
        </w:r>
      </w:hyperlink>
    </w:p>
    <w:p>
      <w:pPr>
        <w:spacing w:after="0" w:line="23" w:lineRule="exact"/>
        <w:rPr>
          <w:sz w:val="20"/>
          <w:szCs w:val="20"/>
          <w:color w:val="auto"/>
        </w:rPr>
      </w:pPr>
    </w:p>
    <w:p>
      <w:pPr>
        <w:ind w:right="400"/>
        <w:spacing w:after="0" w:line="245" w:lineRule="auto"/>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Form of Amendment to Employment Agreements of Randall M. Chesler and Ron J. Copher, effective February 19, 2020. Filed as Exhibit 10(m) to Form 10-K filed on</w:t>
        </w:r>
      </w:hyperlink>
      <w:r>
        <w:rPr>
          <w:rFonts w:ascii="Times New Roman" w:cs="Times New Roman" w:eastAsia="Times New Roman" w:hAnsi="Times New Roman"/>
          <w:sz w:val="14"/>
          <w:szCs w:val="14"/>
          <w:u w:val="single" w:color="auto"/>
          <w:color w:val="0000FF"/>
        </w:rPr>
        <w:t xml:space="preserve"> </w:t>
      </w:r>
      <w:hyperlink r:id="rId174">
        <w:r>
          <w:rPr>
            <w:rFonts w:ascii="Times New Roman" w:cs="Times New Roman" w:eastAsia="Times New Roman" w:hAnsi="Times New Roman"/>
            <w:sz w:val="14"/>
            <w:szCs w:val="14"/>
            <w:u w:val="single" w:color="auto"/>
            <w:color w:val="0000FF"/>
          </w:rPr>
          <w:t>February 21, 2020.</w:t>
        </w:r>
      </w:hyperlink>
    </w:p>
    <w:p>
      <w:pPr>
        <w:ind w:right="2980"/>
        <w:spacing w:after="0" w:line="268" w:lineRule="auto"/>
        <w:rPr>
          <w:sz w:val="20"/>
          <w:szCs w:val="20"/>
          <w:color w:val="auto"/>
        </w:rPr>
      </w:pPr>
      <w:r>
        <w:rPr>
          <w:rFonts w:ascii="Times New Roman" w:cs="Times New Roman" w:eastAsia="Times New Roman" w:hAnsi="Times New Roman"/>
          <w:sz w:val="14"/>
          <w:szCs w:val="14"/>
          <w:u w:val="single" w:color="auto"/>
          <w:color w:val="0000FF"/>
        </w:rPr>
        <w:t>Amended and Restated Employment Agreement effective February 20, 2025, between the Company and Ryan T. Screnar. Amended and Restated Employment Agreement effective February 20, 2025 between the Company and Lee K. Groom.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-341630</wp:posOffset>
            </wp:positionV>
            <wp:extent cx="7161530" cy="114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-112395</wp:posOffset>
            </wp:positionV>
            <wp:extent cx="7161530" cy="114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Subsidiaries of the Company (See Item 1. Business, “General”)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Forvis Mazars,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-101600</wp:posOffset>
            </wp:positionV>
            <wp:extent cx="7161530" cy="114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right="4220"/>
        <w:spacing w:after="0" w:line="268" w:lineRule="auto"/>
        <w:rPr>
          <w:sz w:val="20"/>
          <w:szCs w:val="20"/>
          <w:color w:val="auto"/>
        </w:rPr>
      </w:pPr>
      <w:r>
        <w:rPr>
          <w:rFonts w:ascii="Times New Roman" w:cs="Times New Roman" w:eastAsia="Times New Roman" w:hAnsi="Times New Roman"/>
          <w:sz w:val="14"/>
          <w:szCs w:val="14"/>
          <w:color w:val="auto"/>
        </w:rPr>
        <w:t>Certification of Chief Executive Officer Pursuant to Section 302 of the Sarbanes-Oxley Act of 2002 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-113030</wp:posOffset>
            </wp:positionV>
            <wp:extent cx="7161530" cy="114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right="220"/>
        <w:spacing w:after="0" w:line="245" w:lineRule="auto"/>
        <w:rPr>
          <w:sz w:val="20"/>
          <w:szCs w:val="20"/>
          <w:color w:val="auto"/>
        </w:rPr>
      </w:pPr>
      <w:r>
        <w:rPr>
          <w:rFonts w:ascii="Times New Roman" w:cs="Times New Roman" w:eastAsia="Times New Roman" w:hAnsi="Times New Roman"/>
          <w:sz w:val="14"/>
          <w:szCs w:val="14"/>
          <w:color w:val="auto"/>
        </w:rPr>
        <w:t>Certification of Chief Executive Officer and Chief Financial Officer pursuant to 18 U.S.C. Section 1350, as adopted pursuant to Section 906 of the Sarbanes–Oxley Act of 2002</w:t>
      </w:r>
    </w:p>
    <w:p>
      <w:pPr>
        <w:spacing w:after="0"/>
        <w:rPr>
          <w:rFonts w:ascii="Times New Roman" w:cs="Times New Roman" w:eastAsia="Times New Roman" w:hAnsi="Times New Roman"/>
          <w:sz w:val="14"/>
          <w:szCs w:val="14"/>
          <w:u w:val="single" w:color="auto"/>
          <w:color w:val="0000FF"/>
        </w:rPr>
      </w:pPr>
      <w:hyperlink r:id="rId179">
        <w:r>
          <w:rPr>
            <w:rFonts w:ascii="Times New Roman" w:cs="Times New Roman" w:eastAsia="Times New Roman" w:hAnsi="Times New Roman"/>
            <w:sz w:val="14"/>
            <w:szCs w:val="14"/>
            <w:u w:val="single" w:color="auto"/>
            <w:color w:val="0000FF"/>
          </w:rPr>
          <w:t>Clawback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-101600</wp:posOffset>
            </wp:positionV>
            <wp:extent cx="7161530" cy="114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 w:space="720"/>
            <w:col w:w="9880"/>
          </w:cols>
          <w:pgMar w:left="300" w:top="634" w:right="319" w:bottom="1440" w:gutter="0" w:footer="0" w:header="0"/>
          <w:type w:val="continuous"/>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86"/>
        </w:trPr>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4"/>
        </w:trPr>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880" w:type="dxa"/>
            <w:vAlign w:val="bottom"/>
            <w:tcBorders>
              <w:top w:val="single" w:sz="8" w:color="auto"/>
            </w:tcBorders>
          </w:tcPr>
          <w:p>
            <w:pPr>
              <w:spacing w:after="0"/>
              <w:rPr>
                <w:sz w:val="4"/>
                <w:szCs w:val="4"/>
                <w:color w:val="auto"/>
              </w:rPr>
            </w:pPr>
          </w:p>
        </w:tc>
      </w:tr>
      <w:tr>
        <w:trPr>
          <w:trHeight w:val="180"/>
        </w:trPr>
        <w:tc>
          <w:tcPr>
            <w:tcW w:w="14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101.INS </w:t>
            </w:r>
            <w:r>
              <w:rPr>
                <w:rFonts w:ascii="Times New Roman" w:cs="Times New Roman" w:eastAsia="Times New Roman" w:hAnsi="Times New Roman"/>
                <w:sz w:val="18"/>
                <w:szCs w:val="18"/>
                <w:color w:val="auto"/>
                <w:vertAlign w:val="superscript"/>
              </w:rPr>
              <w:t>3</w:t>
            </w: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180"/>
        </w:trPr>
        <w:tc>
          <w:tcPr>
            <w:tcW w:w="14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101.SCH </w:t>
            </w:r>
            <w:r>
              <w:rPr>
                <w:rFonts w:ascii="Times New Roman" w:cs="Times New Roman" w:eastAsia="Times New Roman" w:hAnsi="Times New Roman"/>
                <w:sz w:val="18"/>
                <w:szCs w:val="18"/>
                <w:color w:val="auto"/>
                <w:vertAlign w:val="superscript"/>
              </w:rPr>
              <w:t>3</w:t>
            </w:r>
          </w:p>
        </w:tc>
        <w:tc>
          <w:tcPr>
            <w:tcW w:w="988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80"/>
        </w:trPr>
        <w:tc>
          <w:tcPr>
            <w:tcW w:w="14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101.CAL </w:t>
            </w:r>
            <w:r>
              <w:rPr>
                <w:rFonts w:ascii="Times New Roman" w:cs="Times New Roman" w:eastAsia="Times New Roman" w:hAnsi="Times New Roman"/>
                <w:sz w:val="18"/>
                <w:szCs w:val="18"/>
                <w:color w:val="auto"/>
                <w:vertAlign w:val="superscript"/>
              </w:rPr>
              <w:t>3</w:t>
            </w: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180"/>
        </w:trPr>
        <w:tc>
          <w:tcPr>
            <w:tcW w:w="14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101.DEF </w:t>
            </w:r>
            <w:r>
              <w:rPr>
                <w:rFonts w:ascii="Times New Roman" w:cs="Times New Roman" w:eastAsia="Times New Roman" w:hAnsi="Times New Roman"/>
                <w:sz w:val="18"/>
                <w:szCs w:val="18"/>
                <w:color w:val="auto"/>
                <w:vertAlign w:val="superscript"/>
              </w:rPr>
              <w:t>3</w:t>
            </w:r>
          </w:p>
        </w:tc>
        <w:tc>
          <w:tcPr>
            <w:tcW w:w="988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180"/>
        </w:trPr>
        <w:tc>
          <w:tcPr>
            <w:tcW w:w="14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101.LAB </w:t>
            </w:r>
            <w:r>
              <w:rPr>
                <w:rFonts w:ascii="Times New Roman" w:cs="Times New Roman" w:eastAsia="Times New Roman" w:hAnsi="Times New Roman"/>
                <w:sz w:val="18"/>
                <w:szCs w:val="18"/>
                <w:color w:val="auto"/>
                <w:vertAlign w:val="superscript"/>
              </w:rPr>
              <w:t>3</w:t>
            </w: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r>
      <w:tr>
        <w:trPr>
          <w:trHeight w:val="180"/>
        </w:trPr>
        <w:tc>
          <w:tcPr>
            <w:tcW w:w="14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101.PRE </w:t>
            </w:r>
            <w:r>
              <w:rPr>
                <w:rFonts w:ascii="Times New Roman" w:cs="Times New Roman" w:eastAsia="Times New Roman" w:hAnsi="Times New Roman"/>
                <w:sz w:val="18"/>
                <w:szCs w:val="18"/>
                <w:color w:val="auto"/>
                <w:vertAlign w:val="superscript"/>
              </w:rPr>
              <w:t>3</w:t>
            </w:r>
          </w:p>
        </w:tc>
        <w:tc>
          <w:tcPr>
            <w:tcW w:w="9880" w:type="dxa"/>
            <w:vAlign w:val="bottom"/>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180"/>
        </w:trPr>
        <w:tc>
          <w:tcPr>
            <w:tcW w:w="11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104 </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1" w:lineRule="exact"/>
        <w:rPr>
          <w:sz w:val="20"/>
          <w:szCs w:val="20"/>
          <w:color w:val="auto"/>
        </w:rPr>
      </w:pPr>
    </w:p>
    <w:p>
      <w:pPr>
        <w:ind w:left="80" w:hanging="75"/>
        <w:spacing w:after="0"/>
        <w:tabs>
          <w:tab w:leader="none" w:pos="8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Exhibit has been previously filed with the United States Securities and Exchange Commission and is incorporated herein as an exhibit by reference to the prior filing.</w:t>
      </w:r>
    </w:p>
    <w:p>
      <w:pPr>
        <w:spacing w:after="0" w:line="182"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Compensatory Plan or Arrangement</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Exhibit omitted from the 2025 Annual Report to Shareholders.</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All other financial statement schedules required by Regulation S-X are omitted because they are not applicable, not material or because the information is included in the consolidated financial statements or related notes.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February 25, 2025.</w:t>
      </w:r>
    </w:p>
    <w:p>
      <w:pPr>
        <w:spacing w:after="0" w:line="1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GLACIER BANCORP, INC.</w:t>
      </w:r>
    </w:p>
    <w:p>
      <w:pPr>
        <w:spacing w:after="0" w:line="2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 /s/ 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225679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22567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Randall M. Chesler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President and CEO</w:t>
      </w:r>
    </w:p>
    <w:p>
      <w:pPr>
        <w:spacing w:after="0" w:line="20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on February 25, 2025, by the following persons on behalf of the registrant and in the capacities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Randall M. Chesler</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President, CEO, and 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Randall M. Chesler</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Ron J. Copher</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Executive Vice President and CFO</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Ron J. Copher</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388"/>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Board of Directors</w:t>
            </w:r>
          </w:p>
        </w:tc>
        <w:tc>
          <w:tcPr>
            <w:tcW w:w="4640" w:type="dxa"/>
            <w:vAlign w:val="bottom"/>
          </w:tcPr>
          <w:p>
            <w:pPr>
              <w:spacing w:after="0"/>
              <w:rPr>
                <w:sz w:val="24"/>
                <w:szCs w:val="2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Craig A. Langel</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Chairman</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Craig A. Langel</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David C. Boyles</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C. Boyles</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Robert A. Cashell, Jr.</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A. Cashell, Jr.</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Sherry L. Cladouhos</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Sherry L. Cladouhos</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Jesus T. Espinoza</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Jesus T. Espinoza</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Annie M. Goodwin</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Annie M. Goodwin</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Kristen L. Heck</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Kristen L. Heck</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Michael B. Hormaechea</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B. Hormaechea</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Douglas J. McBride</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 J. McBride</w:t>
            </w:r>
          </w:p>
        </w:tc>
        <w:tc>
          <w:tcPr>
            <w:tcW w:w="4640" w:type="dxa"/>
            <w:vAlign w:val="bottom"/>
          </w:tcPr>
          <w:p>
            <w:pPr>
              <w:spacing w:after="0"/>
              <w:rPr>
                <w:sz w:val="15"/>
                <w:szCs w:val="15"/>
                <w:color w:val="auto"/>
              </w:rPr>
            </w:pPr>
          </w:p>
        </w:tc>
      </w:tr>
      <w:tr>
        <w:trPr>
          <w:trHeight w:val="29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Beth Noymer Levine</w:t>
            </w:r>
          </w:p>
        </w:tc>
        <w:tc>
          <w:tcPr>
            <w:tcW w:w="46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Beth Noymer Levine</w:t>
            </w:r>
          </w:p>
        </w:tc>
        <w:tc>
          <w:tcPr>
            <w:tcW w:w="46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280"/>
          </w:cols>
          <w:pgMar w:left="300" w:top="635" w:right="319" w:bottom="1440"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and Stockholders</w:t>
      </w:r>
    </w:p>
    <w:p>
      <w:pPr>
        <w:spacing w:after="0"/>
        <w:rPr>
          <w:sz w:val="20"/>
          <w:szCs w:val="20"/>
          <w:color w:val="auto"/>
        </w:rPr>
      </w:pPr>
      <w:r>
        <w:rPr>
          <w:rFonts w:ascii="Times New Roman" w:cs="Times New Roman" w:eastAsia="Times New Roman" w:hAnsi="Times New Roman"/>
          <w:sz w:val="16"/>
          <w:szCs w:val="16"/>
          <w:color w:val="auto"/>
        </w:rPr>
        <w:t>Glacier Bancorp, Inc.</w:t>
      </w:r>
    </w:p>
    <w:p>
      <w:pPr>
        <w:spacing w:after="0"/>
        <w:rPr>
          <w:sz w:val="20"/>
          <w:szCs w:val="20"/>
          <w:color w:val="auto"/>
        </w:rPr>
      </w:pPr>
      <w:r>
        <w:rPr>
          <w:rFonts w:ascii="Times New Roman" w:cs="Times New Roman" w:eastAsia="Times New Roman" w:hAnsi="Times New Roman"/>
          <w:sz w:val="16"/>
          <w:szCs w:val="16"/>
          <w:color w:val="auto"/>
        </w:rPr>
        <w:t>Kalispell, Montana</w:t>
      </w:r>
    </w:p>
    <w:p>
      <w:pPr>
        <w:spacing w:after="0" w:line="3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on Forms S-8 (Files Nos. 333-233079, 333-184874, 333-204023) and Form S-3 (333-268060) of Glacier Bancorp, Inc. of our reports dated February 25, 2025, with respect to the consolidated financial statements of Glacier Bancorp, Inc. and the effectiveness of internal control over financial reporting, included in this Annual Report on Form 10-K for the year ended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Forvis Mazars, LLP</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Denver, Colorado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February 25, 2025</w:t>
      </w:r>
    </w:p>
    <w:p>
      <w:pPr>
        <w:sectPr>
          <w:pgSz w:w="11900" w:h="16838" w:orient="portrait"/>
          <w:cols w:equalWidth="0" w:num="1">
            <w:col w:w="11280"/>
          </w:cols>
          <w:pgMar w:left="300" w:top="316"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Randall M. Chesler, certify that:</w:t>
      </w:r>
    </w:p>
    <w:p>
      <w:pPr>
        <w:spacing w:after="0" w:line="94"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Glacier Bancorp, Inc.</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February 25,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Randall M. Chesler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Randall M. Chesler</w:t>
            </w:r>
          </w:p>
        </w:tc>
      </w:tr>
      <w:tr>
        <w:trPr>
          <w:trHeight w:val="184"/>
        </w:trPr>
        <w:tc>
          <w:tcPr>
            <w:tcW w:w="5960" w:type="dxa"/>
            <w:vAlign w:val="bottom"/>
          </w:tcPr>
          <w:p>
            <w:pPr>
              <w:spacing w:after="0"/>
              <w:rPr>
                <w:sz w:val="16"/>
                <w:szCs w:val="16"/>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President/CEO</w:t>
            </w:r>
          </w:p>
        </w:tc>
      </w:tr>
    </w:tbl>
    <w:p>
      <w:pPr>
        <w:sectPr>
          <w:pgSz w:w="11900" w:h="16838" w:orient="portrait"/>
          <w:cols w:equalWidth="0" w:num="1">
            <w:col w:w="11280"/>
          </w:cols>
          <w:pgMar w:left="300" w:top="316"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Ron J. Copher, certify that:</w:t>
      </w:r>
    </w:p>
    <w:p>
      <w:pPr>
        <w:spacing w:after="0" w:line="94"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Glacier Bancorp, Inc.</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February 25,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Ron J. Copher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Ron J. Copher</w:t>
            </w:r>
          </w:p>
        </w:tc>
      </w:tr>
      <w:tr>
        <w:trPr>
          <w:trHeight w:val="184"/>
        </w:trPr>
        <w:tc>
          <w:tcPr>
            <w:tcW w:w="5960" w:type="dxa"/>
            <w:vAlign w:val="bottom"/>
          </w:tcPr>
          <w:p>
            <w:pPr>
              <w:spacing w:after="0"/>
              <w:rPr>
                <w:sz w:val="16"/>
                <w:szCs w:val="16"/>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President/CFO</w:t>
            </w:r>
          </w:p>
        </w:tc>
      </w:tr>
    </w:tbl>
    <w:p>
      <w:pPr>
        <w:sectPr>
          <w:pgSz w:w="11900" w:h="16838" w:orient="portrait"/>
          <w:cols w:equalWidth="0" w:num="1">
            <w:col w:w="11280"/>
          </w:cols>
          <w:pgMar w:left="300" w:top="316"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Glacier Bancorp, Inc. (“Company”) on Form 10-K for the period ended December 31, 2024,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spacing w:after="0" w:line="51" w:lineRule="exact"/>
        <w:rPr>
          <w:sz w:val="20"/>
          <w:szCs w:val="20"/>
          <w:color w:val="auto"/>
        </w:rPr>
      </w:pPr>
    </w:p>
    <w:p>
      <w:pPr>
        <w:ind w:left="440" w:hanging="244"/>
        <w:spacing w:after="0"/>
        <w:tabs>
          <w:tab w:leader="none" w:pos="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 78m or 78o(d)); and</w:t>
      </w:r>
    </w:p>
    <w:p>
      <w:pPr>
        <w:spacing w:after="0" w:line="93" w:lineRule="exact"/>
        <w:rPr>
          <w:rFonts w:ascii="Times New Roman" w:cs="Times New Roman" w:eastAsia="Times New Roman" w:hAnsi="Times New Roman"/>
          <w:sz w:val="14"/>
          <w:szCs w:val="14"/>
          <w:color w:val="auto"/>
        </w:rPr>
      </w:pPr>
    </w:p>
    <w:p>
      <w:pPr>
        <w:ind w:left="440" w:hanging="244"/>
        <w:spacing w:after="0"/>
        <w:tabs>
          <w:tab w:leader="none" w:pos="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February 25,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Randall M. Chesler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Randall M. Chesler</w:t>
            </w:r>
          </w:p>
        </w:tc>
      </w:tr>
      <w:tr>
        <w:trPr>
          <w:trHeight w:val="180"/>
        </w:trPr>
        <w:tc>
          <w:tcPr>
            <w:tcW w:w="59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President/CEO</w:t>
            </w:r>
          </w:p>
        </w:tc>
      </w:tr>
      <w:tr>
        <w:trPr>
          <w:trHeight w:val="184"/>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February 25,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Ron J. Copher</w:t>
            </w:r>
          </w:p>
        </w:tc>
      </w:tr>
      <w:tr>
        <w:trPr>
          <w:trHeight w:val="167"/>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Ron J. Copher</w:t>
            </w:r>
          </w:p>
        </w:tc>
      </w:tr>
      <w:tr>
        <w:trPr>
          <w:trHeight w:val="184"/>
        </w:trPr>
        <w:tc>
          <w:tcPr>
            <w:tcW w:w="5960" w:type="dxa"/>
            <w:vAlign w:val="bottom"/>
          </w:tcPr>
          <w:p>
            <w:pPr>
              <w:spacing w:after="0"/>
              <w:rPr>
                <w:sz w:val="16"/>
                <w:szCs w:val="16"/>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President/CFO</w:t>
            </w:r>
          </w:p>
        </w:tc>
      </w:tr>
    </w:tbl>
    <w:p>
      <w:pPr>
        <w:spacing w:after="0" w:line="1" w:lineRule="exact"/>
        <w:rPr>
          <w:sz w:val="20"/>
          <w:szCs w:val="20"/>
          <w:color w:val="auto"/>
        </w:rPr>
      </w:pPr>
    </w:p>
    <w:sectPr>
      <w:pgSz w:w="11900" w:h="16838" w:orient="portrait"/>
      <w:cols w:equalWidth="0" w:num="1">
        <w:col w:w="11280"/>
      </w:cols>
      <w:pgMar w:left="300" w:top="3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bullet"/>
      <w:start w:val="1"/>
    </w:lvl>
  </w:abstractNum>
  <w:abstractNum w:abstractNumId="9">
    <w:nsid w:val="4353D0CD"/>
    <w:multiLevelType w:val="hybridMultilevel"/>
    <w:lvl w:ilvl="0">
      <w:lvlJc w:val="left"/>
      <w:lvlText w:val="1"/>
      <w:numFmt w:val="bullet"/>
      <w:start w:val="1"/>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bullet"/>
      <w:start w:val="1"/>
    </w:lvl>
  </w:abstractNum>
  <w:abstractNum w:abstractNumId="13">
    <w:nsid w:val="71F32454"/>
    <w:multiLevelType w:val="hybridMultilevel"/>
    <w:lvl w:ilvl="0">
      <w:lvlJc w:val="left"/>
      <w:lvlText w:val="1"/>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bullet"/>
      <w:start w:val="1"/>
    </w:lvl>
  </w:abstractNum>
  <w:abstractNum w:abstractNumId="16">
    <w:nsid w:val="2901D82"/>
    <w:multiLevelType w:val="hybridMultilevel"/>
    <w:lvl w:ilvl="0">
      <w:lvlJc w:val="left"/>
      <w:lvlText w:val="1"/>
      <w:numFmt w:val="bullet"/>
      <w:start w:val="1"/>
    </w:lvl>
  </w:abstractNum>
  <w:abstractNum w:abstractNumId="17">
    <w:nsid w:val="3A95F874"/>
    <w:multiLevelType w:val="hybridMultilevel"/>
    <w:lvl w:ilvl="0">
      <w:lvlJc w:val="left"/>
      <w:lvlText w:val="2"/>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bullet"/>
      <w:start w:val="1"/>
    </w:lvl>
  </w:abstractNum>
  <w:abstractNum w:abstractNumId="27">
    <w:nsid w:val="419AC241"/>
    <w:multiLevelType w:val="hybridMultilevel"/>
    <w:lvl w:ilvl="0">
      <w:lvlJc w:val="left"/>
      <w:lvlText w:val="1"/>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1"/>
      <w:numFmt w:val="bullet"/>
      <w:start w:val="1"/>
    </w:lvl>
  </w:abstractNum>
  <w:abstractNum w:abstractNumId="31">
    <w:nsid w:val="3804823E"/>
    <w:multiLevelType w:val="hybridMultilevel"/>
    <w:lvl w:ilvl="0">
      <w:lvlJc w:val="left"/>
      <w:lvlText w:val="1"/>
      <w:numFmt w:val="bullet"/>
      <w:start w:val="1"/>
    </w:lvl>
  </w:abstractNum>
  <w:abstractNum w:abstractNumId="32">
    <w:nsid w:val="77465F01"/>
    <w:multiLevelType w:val="hybridMultilevel"/>
    <w:lvl w:ilvl="0">
      <w:lvlJc w:val="left"/>
      <w:lvlText w:val="1"/>
      <w:numFmt w:val="bullet"/>
      <w:start w:val="1"/>
    </w:lvl>
  </w:abstractNum>
  <w:abstractNum w:abstractNumId="33">
    <w:nsid w:val="7724C67E"/>
    <w:multiLevelType w:val="hybridMultilevel"/>
    <w:lvl w:ilvl="0">
      <w:lvlJc w:val="left"/>
      <w:lvlText w:val="1"/>
      <w:numFmt w:val="bullet"/>
      <w:start w:val="1"/>
    </w:lvl>
  </w:abstractNum>
  <w:abstractNum w:abstractNumId="34">
    <w:nsid w:val="5C482A97"/>
    <w:multiLevelType w:val="hybridMultilevel"/>
    <w:lvl w:ilvl="0">
      <w:lvlJc w:val="left"/>
      <w:lvlText w:val="(%1)"/>
      <w:numFmt w:val="lowerLetter"/>
      <w:start w:val="1"/>
    </w:lvl>
    <w:lvl w:ilvl="1">
      <w:lvlJc w:val="left"/>
      <w:lvlText w:val="(%2)"/>
      <w:numFmt w:val="decimal"/>
      <w:start w:val="1"/>
    </w:lvl>
  </w:abstractNum>
  <w:abstractNum w:abstractNumId="35">
    <w:nsid w:val="2463B9EA"/>
    <w:multiLevelType w:val="hybridMultilevel"/>
    <w:lvl w:ilvl="0">
      <w:lvlJc w:val="left"/>
      <w:lvlText w:val="%1"/>
      <w:numFmt w:val="decimal"/>
      <w:start w:val="23"/>
    </w:lvl>
  </w:abstractNum>
  <w:abstractNum w:abstractNumId="36">
    <w:nsid w:val="5E884ADC"/>
    <w:multiLevelType w:val="hybridMultilevel"/>
    <w:lvl w:ilvl="0">
      <w:lvlJc w:val="left"/>
      <w:lvlText w:val="%1"/>
      <w:numFmt w:val="decimal"/>
      <w:start w:val="32"/>
    </w:lvl>
  </w:abstractNum>
  <w:abstractNum w:abstractNumId="37">
    <w:nsid w:val="51EAD36B"/>
    <w:multiLevelType w:val="hybridMultilevel"/>
    <w:lvl w:ilvl="0">
      <w:lvlJc w:val="left"/>
      <w:lvlText w:val="1"/>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5" Type="http://schemas.openxmlformats.org/officeDocument/2006/relationships/image" Target="media/image147.png"/><Relationship Id="rId158" Type="http://schemas.openxmlformats.org/officeDocument/2006/relationships/image" Target="media/image148.png"/><Relationship Id="rId160" Type="http://schemas.openxmlformats.org/officeDocument/2006/relationships/image" Target="media/image149.png"/><Relationship Id="rId163" Type="http://schemas.openxmlformats.org/officeDocument/2006/relationships/image" Target="media/image150.png"/><Relationship Id="rId166" Type="http://schemas.openxmlformats.org/officeDocument/2006/relationships/image" Target="media/image151.png"/><Relationship Id="rId169" Type="http://schemas.openxmlformats.org/officeDocument/2006/relationships/image" Target="media/image152.png"/><Relationship Id="rId172"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154" Type="http://schemas.openxmlformats.org/officeDocument/2006/relationships/hyperlink" Target="https://www.sec.gov/Archives/edgar/data/868671/000086867122000077/gbciamendedarticlesapril.htm" TargetMode="External"/><Relationship Id="rId156" Type="http://schemas.openxmlformats.org/officeDocument/2006/relationships/hyperlink" Target="https://www.sec.gov/Archives/edgar/data/0000868671/000086867121000052/exhibit32-amendedandrestat.htm" TargetMode="External"/><Relationship Id="rId157" Type="http://schemas.openxmlformats.org/officeDocument/2006/relationships/hyperlink" Target="https://www.sec.gov/Archives/edgar/data/868671/000086867122000077/gbciexhibit4.htm" TargetMode="External"/><Relationship Id="rId159" Type="http://schemas.openxmlformats.org/officeDocument/2006/relationships/hyperlink" Target="http://www.sec.gov/Archives/edgar/data/868671/000095013409004207/v51163exv10wxcy.txt" TargetMode="External"/><Relationship Id="rId161" Type="http://schemas.openxmlformats.org/officeDocument/2006/relationships/hyperlink" Target="http://www.sec.gov/Archives/edgar/data/868671/000095013409004207/v51163exv10wxdy.txt" TargetMode="External"/><Relationship Id="rId162" Type="http://schemas.openxmlformats.org/officeDocument/2006/relationships/hyperlink" Target="http://www.sec.gov/Archives/edgar/data/868671/000119312512443269/d431396dex101.htm" TargetMode="External"/><Relationship Id="rId164" Type="http://schemas.openxmlformats.org/officeDocument/2006/relationships/hyperlink" Target="http://www.sec.gov/Archives/edgar/data/868671/000086867115000065/gbci-04292015xex991.htm" TargetMode="External"/><Relationship Id="rId165" Type="http://schemas.openxmlformats.org/officeDocument/2006/relationships/hyperlink" Target="http://www.sec.gov/Archives/edgar/data/868671/000086867115000065/gbci-04292015xex992.htm" TargetMode="External"/><Relationship Id="rId167" Type="http://schemas.openxmlformats.org/officeDocument/2006/relationships/hyperlink" Target="https://www.sec.gov/Archives/edgar/data/868671/000086867122000053/exhibit10f-rsuawardagree.htm" TargetMode="External"/><Relationship Id="rId168" Type="http://schemas.openxmlformats.org/officeDocument/2006/relationships/hyperlink" Target="http://www.sec.gov/Archives/edgar/data/868671/000086867119000022/gbci-12312018xex10g.htm" TargetMode="External"/><Relationship Id="rId170" Type="http://schemas.openxmlformats.org/officeDocument/2006/relationships/hyperlink" Target="http://www.sec.gov/Archives/edgar/data/868671/000119312519215099/d783188ds8.htm" TargetMode="External"/><Relationship Id="rId171" Type="http://schemas.openxmlformats.org/officeDocument/2006/relationships/hyperlink" Target="http://www.sec.gov/Archives/edgar/data/868671/000086867118000037/gbci-03312018xex101.htm" TargetMode="External"/><Relationship Id="rId173" Type="http://schemas.openxmlformats.org/officeDocument/2006/relationships/hyperlink" Target="http://www.sec.gov/Archives/edgar/data/868671/000086867118000037/gbci-03312018xex102.htm" TargetMode="External"/><Relationship Id="rId174" Type="http://schemas.openxmlformats.org/officeDocument/2006/relationships/hyperlink" Target="http://www.sec.gov/Archives/edgar/data/868671/000086867120000032/gbci-12312019xex10m.htm" TargetMode="External"/><Relationship Id="rId179" Type="http://schemas.openxmlformats.org/officeDocument/2006/relationships/hyperlink" Target="https://www.sec.gov/Archives/edgar/data/868671/000086867124000042/ex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2025-02-25T16:48:59Z</dcterms:created>
  <dcterms:modified xsi:type="dcterms:W3CDTF">2025-02-25T16:48:59Z</dcterms:modified>
</cp:coreProperties>
</file>