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left="340" w:right="2460"/>
        <w:spacing w:after="0" w:line="225"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Glacier Bancorp,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tbl>
      <w:tblPr>
        <w:tblLayout w:type="fixed"/>
        <w:tblInd w:w="1580" w:type="dxa"/>
        <w:tblCellMar>
          <w:top w:w="0" w:type="dxa"/>
          <w:left w:w="0" w:type="dxa"/>
          <w:bottom w:w="0" w:type="dxa"/>
          <w:right w:w="0" w:type="dxa"/>
        </w:tblCellMar>
      </w:tblPr>
      <w:tr>
        <w:trPr>
          <w:trHeight w:val="225"/>
        </w:trPr>
        <w:tc>
          <w:tcPr>
            <w:tcW w:w="4160" w:type="dxa"/>
            <w:vAlign w:val="bottom"/>
          </w:tcPr>
          <w:p>
            <w:pPr>
              <w:jc w:val="center"/>
              <w:ind w:right="1577"/>
              <w:spacing w:after="0"/>
              <w:rPr>
                <w:sz w:val="20"/>
                <w:szCs w:val="20"/>
                <w:color w:val="auto"/>
              </w:rPr>
            </w:pPr>
            <w:r>
              <w:rPr>
                <w:rFonts w:ascii="Arial" w:cs="Arial" w:eastAsia="Arial" w:hAnsi="Arial"/>
                <w:sz w:val="18"/>
                <w:szCs w:val="18"/>
                <w:b w:val="1"/>
                <w:bCs w:val="1"/>
                <w:color w:val="auto"/>
                <w:w w:val="94"/>
              </w:rPr>
              <w:t>Montana</w:t>
            </w:r>
          </w:p>
        </w:tc>
        <w:tc>
          <w:tcPr>
            <w:tcW w:w="3880" w:type="dxa"/>
            <w:vAlign w:val="bottom"/>
          </w:tcPr>
          <w:p>
            <w:pPr>
              <w:jc w:val="right"/>
              <w:ind w:right="599"/>
              <w:spacing w:after="0"/>
              <w:rPr>
                <w:sz w:val="20"/>
                <w:szCs w:val="20"/>
                <w:color w:val="auto"/>
              </w:rPr>
            </w:pPr>
            <w:r>
              <w:rPr>
                <w:rFonts w:ascii="Arial" w:cs="Arial" w:eastAsia="Arial" w:hAnsi="Arial"/>
                <w:sz w:val="18"/>
                <w:szCs w:val="18"/>
                <w:b w:val="1"/>
                <w:bCs w:val="1"/>
                <w:color w:val="auto"/>
              </w:rPr>
              <w:t>81-0519541</w:t>
            </w:r>
          </w:p>
        </w:tc>
      </w:tr>
      <w:tr>
        <w:trPr>
          <w:trHeight w:val="186"/>
        </w:trPr>
        <w:tc>
          <w:tcPr>
            <w:tcW w:w="4160" w:type="dxa"/>
            <w:vAlign w:val="bottom"/>
          </w:tcPr>
          <w:p>
            <w:pPr>
              <w:jc w:val="center"/>
              <w:ind w:right="1577"/>
              <w:spacing w:after="0"/>
              <w:rPr>
                <w:sz w:val="20"/>
                <w:szCs w:val="20"/>
                <w:color w:val="auto"/>
              </w:rPr>
            </w:pPr>
            <w:r>
              <w:rPr>
                <w:rFonts w:ascii="Arial" w:cs="Arial" w:eastAsia="Arial" w:hAnsi="Arial"/>
                <w:sz w:val="14"/>
                <w:szCs w:val="14"/>
                <w:b w:val="1"/>
                <w:bCs w:val="1"/>
                <w:color w:val="auto"/>
                <w:w w:val="95"/>
              </w:rPr>
              <w:t>(State of Incorporation or Organization)</w:t>
            </w:r>
          </w:p>
        </w:tc>
        <w:tc>
          <w:tcPr>
            <w:tcW w:w="3880" w:type="dxa"/>
            <w:vAlign w:val="bottom"/>
          </w:tcPr>
          <w:p>
            <w:pPr>
              <w:jc w:val="center"/>
              <w:ind w:left="159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18"/>
        </w:trPr>
        <w:tc>
          <w:tcPr>
            <w:tcW w:w="4160" w:type="dxa"/>
            <w:vAlign w:val="bottom"/>
          </w:tcPr>
          <w:p>
            <w:pPr>
              <w:jc w:val="center"/>
              <w:ind w:right="1577"/>
              <w:spacing w:after="0"/>
              <w:rPr>
                <w:sz w:val="20"/>
                <w:szCs w:val="20"/>
                <w:color w:val="auto"/>
              </w:rPr>
            </w:pPr>
            <w:r>
              <w:rPr>
                <w:rFonts w:ascii="Arial" w:cs="Arial" w:eastAsia="Arial" w:hAnsi="Arial"/>
                <w:sz w:val="18"/>
                <w:szCs w:val="18"/>
                <w:b w:val="1"/>
                <w:bCs w:val="1"/>
                <w:color w:val="auto"/>
                <w:w w:val="90"/>
              </w:rPr>
              <w:t>49 Commons Loop</w:t>
            </w:r>
          </w:p>
        </w:tc>
        <w:tc>
          <w:tcPr>
            <w:tcW w:w="3880" w:type="dxa"/>
            <w:vAlign w:val="bottom"/>
          </w:tcPr>
          <w:p>
            <w:pPr>
              <w:spacing w:after="0"/>
              <w:rPr>
                <w:sz w:val="24"/>
                <w:szCs w:val="24"/>
                <w:color w:val="auto"/>
              </w:rPr>
            </w:pPr>
          </w:p>
        </w:tc>
      </w:tr>
      <w:tr>
        <w:trPr>
          <w:trHeight w:val="252"/>
        </w:trPr>
        <w:tc>
          <w:tcPr>
            <w:tcW w:w="4160" w:type="dxa"/>
            <w:vAlign w:val="bottom"/>
          </w:tcPr>
          <w:p>
            <w:pPr>
              <w:jc w:val="center"/>
              <w:ind w:right="1577"/>
              <w:spacing w:after="0"/>
              <w:rPr>
                <w:sz w:val="20"/>
                <w:szCs w:val="20"/>
                <w:color w:val="auto"/>
              </w:rPr>
            </w:pPr>
            <w:r>
              <w:rPr>
                <w:rFonts w:ascii="Arial" w:cs="Arial" w:eastAsia="Arial" w:hAnsi="Arial"/>
                <w:sz w:val="18"/>
                <w:szCs w:val="18"/>
                <w:b w:val="1"/>
                <w:bCs w:val="1"/>
                <w:color w:val="auto"/>
                <w:w w:val="95"/>
              </w:rPr>
              <w:t>Kalispell , MT</w:t>
            </w:r>
          </w:p>
        </w:tc>
        <w:tc>
          <w:tcPr>
            <w:tcW w:w="3880" w:type="dxa"/>
            <w:vAlign w:val="bottom"/>
          </w:tcPr>
          <w:p>
            <w:pPr>
              <w:jc w:val="right"/>
              <w:ind w:right="799"/>
              <w:spacing w:after="0"/>
              <w:rPr>
                <w:sz w:val="20"/>
                <w:szCs w:val="20"/>
                <w:color w:val="auto"/>
              </w:rPr>
            </w:pPr>
            <w:r>
              <w:rPr>
                <w:rFonts w:ascii="Arial" w:cs="Arial" w:eastAsia="Arial" w:hAnsi="Arial"/>
                <w:sz w:val="18"/>
                <w:szCs w:val="18"/>
                <w:b w:val="1"/>
                <w:bCs w:val="1"/>
                <w:color w:val="auto"/>
              </w:rPr>
              <w:t>59901</w:t>
            </w:r>
          </w:p>
        </w:tc>
      </w:tr>
      <w:tr>
        <w:trPr>
          <w:trHeight w:val="186"/>
        </w:trPr>
        <w:tc>
          <w:tcPr>
            <w:tcW w:w="4160" w:type="dxa"/>
            <w:vAlign w:val="bottom"/>
          </w:tcPr>
          <w:p>
            <w:pPr>
              <w:jc w:val="center"/>
              <w:ind w:right="15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80" w:type="dxa"/>
            <w:vAlign w:val="bottom"/>
          </w:tcPr>
          <w:p>
            <w:pPr>
              <w:jc w:val="center"/>
              <w:ind w:left="1579"/>
              <w:spacing w:after="0"/>
              <w:rPr>
                <w:sz w:val="20"/>
                <w:szCs w:val="20"/>
                <w:color w:val="auto"/>
              </w:rPr>
            </w:pPr>
            <w:r>
              <w:rPr>
                <w:rFonts w:ascii="Arial" w:cs="Arial" w:eastAsia="Arial" w:hAnsi="Arial"/>
                <w:sz w:val="14"/>
                <w:szCs w:val="14"/>
                <w:b w:val="1"/>
                <w:bCs w:val="1"/>
                <w:color w:val="auto"/>
                <w:w w:val="92"/>
              </w:rPr>
              <w:t>(Zip code)</w:t>
            </w:r>
          </w:p>
        </w:tc>
      </w:tr>
    </w:tbl>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w:t>
            </w:r>
          </w:p>
        </w:tc>
      </w:tr>
      <w:tr>
        <w:trPr>
          <w:trHeight w:val="196"/>
        </w:trPr>
        <w:tc>
          <w:tcPr>
            <w:tcW w:w="5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to be so registered</w:t>
            </w:r>
          </w:p>
        </w:tc>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34"/>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40" w:type="dxa"/>
            <w:vAlign w:val="bottom"/>
          </w:tcPr>
          <w:p>
            <w:pPr>
              <w:spacing w:after="0"/>
              <w:rPr>
                <w:sz w:val="20"/>
                <w:szCs w:val="20"/>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91" w:lineRule="exact"/>
        <w:rPr>
          <w:sz w:val="24"/>
          <w:szCs w:val="24"/>
          <w:color w:val="auto"/>
        </w:rPr>
      </w:pPr>
    </w:p>
    <w:p>
      <w:pPr>
        <w:ind w:right="120"/>
        <w:spacing w:after="0" w:line="21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43" w:lineRule="exact"/>
        <w:rPr>
          <w:sz w:val="24"/>
          <w:szCs w:val="24"/>
          <w:color w:val="auto"/>
        </w:rPr>
      </w:pPr>
    </w:p>
    <w:p>
      <w:pPr>
        <w:ind w:right="120"/>
        <w:spacing w:after="0" w:line="21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w:t>
      </w:r>
      <w:r>
        <w:rPr>
          <w:rFonts w:ascii="MS PGothic" w:cs="MS PGothic" w:eastAsia="MS PGothic" w:hAnsi="MS PGothic"/>
          <w:sz w:val="18"/>
          <w:szCs w:val="18"/>
          <w:color w:val="auto"/>
        </w:rPr>
        <w:t>☐</w:t>
      </w:r>
    </w:p>
    <w:p>
      <w:pPr>
        <w:spacing w:after="0" w:line="1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13"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81" w:lineRule="exact"/>
        <w:rPr>
          <w:sz w:val="20"/>
          <w:szCs w:val="20"/>
          <w:color w:val="auto"/>
        </w:rPr>
      </w:pPr>
    </w:p>
    <w:p>
      <w:pPr>
        <w:jc w:val="both"/>
        <w:spacing w:after="0" w:line="224" w:lineRule="auto"/>
        <w:rPr>
          <w:rFonts w:ascii="Arial" w:cs="Arial" w:eastAsia="Arial" w:hAnsi="Arial"/>
          <w:sz w:val="18"/>
          <w:szCs w:val="18"/>
          <w:color w:val="auto"/>
        </w:rPr>
      </w:pPr>
      <w:r>
        <w:rPr>
          <w:rFonts w:ascii="Arial" w:cs="Arial" w:eastAsia="Arial" w:hAnsi="Arial"/>
          <w:sz w:val="18"/>
          <w:szCs w:val="18"/>
          <w:color w:val="auto"/>
        </w:rPr>
        <w:t>Glacier Bancorp,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xml:space="preserve">”), hereby incorporates by reference the description of its Common Stock, $0.01 par value, to be registered hereunder that is included in </w:t>
      </w:r>
      <w:hyperlink r:id="rId12">
        <w:r>
          <w:rPr>
            <w:rFonts w:ascii="Arial" w:cs="Arial" w:eastAsia="Arial" w:hAnsi="Arial"/>
            <w:sz w:val="18"/>
            <w:szCs w:val="18"/>
            <w:b w:val="1"/>
            <w:bCs w:val="1"/>
            <w:color w:val="0000FF"/>
          </w:rPr>
          <w:t>Exhibit 4(a)</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to the Registrant’s Form 10-K filed with the Securities and Exchange Commission on February 21, 2020, which description </w:t>
      </w:r>
      <w:r>
        <w:rPr>
          <w:rFonts w:ascii="Arial" w:cs="Arial" w:eastAsia="Arial" w:hAnsi="Arial"/>
          <w:sz w:val="18"/>
          <w:szCs w:val="18"/>
          <w:color w:val="auto"/>
          <w:highlight w:val="white"/>
        </w:rPr>
        <w:t>shall be deemed to be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-247015</wp:posOffset>
            </wp:positionV>
            <wp:extent cx="570928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709285" cy="12890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8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as part of this registration statement because no other securities of the Registrant are registered on The New York Stock Exchange and the securities registered hereby are not being registered pursuant to Section 12(g) of the Securities Exchange Act of 1934, as amended.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GLACIER BANCORP, INC.</w:t>
      </w:r>
    </w:p>
    <w:p>
      <w:pPr>
        <w:spacing w:after="0" w:line="148" w:lineRule="exact"/>
        <w:rPr>
          <w:sz w:val="20"/>
          <w:szCs w:val="20"/>
          <w:color w:val="auto"/>
        </w:rPr>
      </w:pPr>
    </w:p>
    <w:p>
      <w:pPr>
        <w:ind w:left="20"/>
        <w:spacing w:after="0"/>
        <w:tabs>
          <w:tab w:leader="none" w:pos="5760" w:val="left"/>
          <w:tab w:leader="none" w:pos="6320" w:val="left"/>
        </w:tabs>
        <w:rPr>
          <w:sz w:val="20"/>
          <w:szCs w:val="20"/>
          <w:color w:val="auto"/>
        </w:rPr>
      </w:pPr>
      <w:r>
        <w:rPr>
          <w:rFonts w:ascii="Arial" w:cs="Arial" w:eastAsia="Arial" w:hAnsi="Arial"/>
          <w:sz w:val="18"/>
          <w:szCs w:val="18"/>
          <w:color w:val="auto"/>
        </w:rPr>
        <w:t>Date: December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 J. Copher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20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Ron J. Copher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Executive Vice President/CFO</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2" Type="http://schemas.openxmlformats.org/officeDocument/2006/relationships/hyperlink" Target="https://www.sec.gov/Archives/edgar/data/0000868671/000086867120000032/gbci-12312019xex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2021-12-15T09:30:06Z</dcterms:created>
  <dcterms:modified xsi:type="dcterms:W3CDTF">2021-12-15T09:30:06Z</dcterms:modified>
</cp:coreProperties>
</file>