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20"/>
        <w:spacing w:after="0" w:line="236" w:lineRule="auto"/>
        <w:rPr>
          <w:sz w:val="20"/>
          <w:szCs w:val="20"/>
          <w:color w:val="auto"/>
        </w:rPr>
      </w:pPr>
      <w:r>
        <w:rPr>
          <w:rFonts w:ascii="Arial" w:cs="Arial" w:eastAsia="Arial" w:hAnsi="Arial"/>
          <w:sz w:val="20"/>
          <w:szCs w:val="20"/>
          <w:b w:val="1"/>
          <w:bCs w:val="1"/>
          <w:color w:val="auto"/>
        </w:rPr>
        <w:t>Washington, D.C. 20549</w:t>
      </w:r>
    </w:p>
    <w:p>
      <w:pPr>
        <w:spacing w:after="0" w:line="1" w:lineRule="exact"/>
        <w:rPr>
          <w:sz w:val="24"/>
          <w:szCs w:val="24"/>
          <w:color w:val="auto"/>
        </w:rPr>
      </w:pPr>
    </w:p>
    <w:p>
      <w:pPr>
        <w:ind w:left="3460"/>
        <w:spacing w:after="0"/>
        <w:rPr>
          <w:sz w:val="20"/>
          <w:szCs w:val="20"/>
          <w:color w:val="auto"/>
        </w:rPr>
      </w:pPr>
      <w:r>
        <w:rPr>
          <w:rFonts w:ascii="Arial" w:cs="Arial" w:eastAsia="Arial" w:hAnsi="Arial"/>
          <w:sz w:val="14"/>
          <w:szCs w:val="14"/>
          <w:color w:val="auto"/>
        </w:rPr>
        <w:t>____________________________________________________________</w:t>
      </w: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8-K</w:t>
      </w:r>
    </w:p>
    <w:p>
      <w:pPr>
        <w:ind w:left="3460"/>
        <w:spacing w:after="0"/>
        <w:rPr>
          <w:sz w:val="20"/>
          <w:szCs w:val="20"/>
          <w:color w:val="auto"/>
        </w:rPr>
      </w:pPr>
      <w:r>
        <w:rPr>
          <w:rFonts w:ascii="Arial" w:cs="Arial" w:eastAsia="Arial" w:hAnsi="Arial"/>
          <w:sz w:val="14"/>
          <w:szCs w:val="14"/>
          <w:color w:val="auto"/>
        </w:rPr>
        <w:t>____________________________________________________________</w:t>
      </w:r>
    </w:p>
    <w:p>
      <w:pPr>
        <w:spacing w:after="0" w:line="23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24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47"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December 6, 2021</w:t>
      </w:r>
    </w:p>
    <w:p>
      <w:pPr>
        <w:spacing w:after="0" w:line="242" w:lineRule="exact"/>
        <w:rPr>
          <w:sz w:val="24"/>
          <w:szCs w:val="24"/>
          <w:color w:val="auto"/>
        </w:rPr>
      </w:pPr>
    </w:p>
    <w:p>
      <w:pPr>
        <w:ind w:left="3460"/>
        <w:spacing w:after="0"/>
        <w:rPr>
          <w:sz w:val="20"/>
          <w:szCs w:val="20"/>
          <w:color w:val="auto"/>
        </w:rPr>
      </w:pPr>
      <w:r>
        <w:rPr>
          <w:rFonts w:ascii="Arial" w:cs="Arial" w:eastAsia="Arial" w:hAnsi="Arial"/>
          <w:sz w:val="14"/>
          <w:szCs w:val="14"/>
          <w:color w:val="auto"/>
        </w:rPr>
        <w:t>____________________________________________________________</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GLACIER BANCORP, INC.</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 w:lineRule="exact"/>
        <w:rPr>
          <w:sz w:val="24"/>
          <w:szCs w:val="24"/>
          <w:color w:val="auto"/>
        </w:rPr>
      </w:pPr>
    </w:p>
    <w:p>
      <w:pPr>
        <w:ind w:left="3460"/>
        <w:spacing w:after="0"/>
        <w:rPr>
          <w:sz w:val="20"/>
          <w:szCs w:val="20"/>
          <w:color w:val="auto"/>
        </w:rPr>
      </w:pPr>
      <w:r>
        <w:rPr>
          <w:rFonts w:ascii="Arial" w:cs="Arial" w:eastAsia="Arial" w:hAnsi="Arial"/>
          <w:sz w:val="14"/>
          <w:szCs w:val="14"/>
          <w:color w:val="auto"/>
        </w:rPr>
        <w:t>____________________________________________________________</w:t>
      </w:r>
    </w:p>
    <w:p>
      <w:pPr>
        <w:spacing w:after="0" w:line="21" w:lineRule="exact"/>
        <w:rPr>
          <w:sz w:val="24"/>
          <w:szCs w:val="24"/>
          <w:color w:val="auto"/>
        </w:rPr>
      </w:pPr>
    </w:p>
    <w:tbl>
      <w:tblPr>
        <w:tblLayout w:type="fixed"/>
        <w:tblInd w:w="980" w:type="dxa"/>
        <w:tblCellMar>
          <w:top w:w="0" w:type="dxa"/>
          <w:left w:w="0" w:type="dxa"/>
          <w:bottom w:w="0" w:type="dxa"/>
          <w:right w:w="0" w:type="dxa"/>
        </w:tblCellMar>
      </w:tblPr>
      <w:tr>
        <w:trPr>
          <w:trHeight w:val="275"/>
        </w:trPr>
        <w:tc>
          <w:tcPr>
            <w:tcW w:w="1820" w:type="dxa"/>
            <w:vAlign w:val="bottom"/>
          </w:tcPr>
          <w:p>
            <w:pPr>
              <w:jc w:val="center"/>
              <w:spacing w:after="0"/>
              <w:rPr>
                <w:sz w:val="20"/>
                <w:szCs w:val="20"/>
                <w:color w:val="auto"/>
              </w:rPr>
            </w:pPr>
            <w:r>
              <w:rPr>
                <w:rFonts w:ascii="Arial" w:cs="Arial" w:eastAsia="Arial" w:hAnsi="Arial"/>
                <w:sz w:val="22"/>
                <w:szCs w:val="22"/>
                <w:b w:val="1"/>
                <w:bCs w:val="1"/>
                <w:color w:val="auto"/>
                <w:w w:val="92"/>
              </w:rPr>
              <w:t>Montana</w:t>
            </w:r>
          </w:p>
        </w:tc>
        <w:tc>
          <w:tcPr>
            <w:tcW w:w="4860" w:type="dxa"/>
            <w:vAlign w:val="bottom"/>
          </w:tcPr>
          <w:p>
            <w:pPr>
              <w:jc w:val="center"/>
              <w:ind w:left="670"/>
              <w:spacing w:after="0"/>
              <w:rPr>
                <w:sz w:val="20"/>
                <w:szCs w:val="20"/>
                <w:color w:val="auto"/>
              </w:rPr>
            </w:pPr>
            <w:r>
              <w:rPr>
                <w:rFonts w:ascii="Arial" w:cs="Arial" w:eastAsia="Arial" w:hAnsi="Arial"/>
                <w:sz w:val="22"/>
                <w:szCs w:val="22"/>
                <w:b w:val="1"/>
                <w:bCs w:val="1"/>
                <w:color w:val="auto"/>
                <w:w w:val="89"/>
              </w:rPr>
              <w:t>000-18911</w:t>
            </w:r>
          </w:p>
        </w:tc>
        <w:tc>
          <w:tcPr>
            <w:tcW w:w="2280" w:type="dxa"/>
            <w:vAlign w:val="bottom"/>
          </w:tcPr>
          <w:p>
            <w:pPr>
              <w:jc w:val="center"/>
              <w:ind w:left="1054"/>
              <w:spacing w:after="0"/>
              <w:rPr>
                <w:sz w:val="20"/>
                <w:szCs w:val="20"/>
                <w:color w:val="auto"/>
              </w:rPr>
            </w:pPr>
            <w:r>
              <w:rPr>
                <w:rFonts w:ascii="Arial" w:cs="Arial" w:eastAsia="Arial" w:hAnsi="Arial"/>
                <w:sz w:val="22"/>
                <w:szCs w:val="22"/>
                <w:b w:val="1"/>
                <w:bCs w:val="1"/>
                <w:color w:val="auto"/>
                <w:w w:val="90"/>
              </w:rPr>
              <w:t>81-0519541</w:t>
            </w:r>
          </w:p>
        </w:tc>
      </w:tr>
      <w:tr>
        <w:trPr>
          <w:trHeight w:val="144"/>
        </w:trPr>
        <w:tc>
          <w:tcPr>
            <w:tcW w:w="1820" w:type="dxa"/>
            <w:vAlign w:val="bottom"/>
          </w:tcPr>
          <w:p>
            <w:pPr>
              <w:jc w:val="center"/>
              <w:ind w:right="14"/>
              <w:spacing w:after="0" w:line="145" w:lineRule="exact"/>
              <w:rPr>
                <w:sz w:val="20"/>
                <w:szCs w:val="20"/>
                <w:color w:val="auto"/>
              </w:rPr>
            </w:pPr>
            <w:r>
              <w:rPr>
                <w:rFonts w:ascii="Arial" w:cs="Arial" w:eastAsia="Arial" w:hAnsi="Arial"/>
                <w:sz w:val="14"/>
                <w:szCs w:val="14"/>
                <w:b w:val="1"/>
                <w:bCs w:val="1"/>
                <w:color w:val="auto"/>
                <w:w w:val="93"/>
              </w:rPr>
              <w:t>(State or other jurisdiction</w:t>
            </w:r>
          </w:p>
        </w:tc>
        <w:tc>
          <w:tcPr>
            <w:tcW w:w="4860" w:type="dxa"/>
            <w:vAlign w:val="bottom"/>
          </w:tcPr>
          <w:p>
            <w:pPr>
              <w:jc w:val="center"/>
              <w:ind w:left="630"/>
              <w:spacing w:after="0" w:line="145" w:lineRule="exact"/>
              <w:rPr>
                <w:sz w:val="20"/>
                <w:szCs w:val="20"/>
                <w:color w:val="auto"/>
              </w:rPr>
            </w:pPr>
            <w:r>
              <w:rPr>
                <w:rFonts w:ascii="Arial" w:cs="Arial" w:eastAsia="Arial" w:hAnsi="Arial"/>
                <w:sz w:val="14"/>
                <w:szCs w:val="14"/>
                <w:b w:val="1"/>
                <w:bCs w:val="1"/>
                <w:color w:val="auto"/>
                <w:w w:val="92"/>
              </w:rPr>
              <w:t>(Commission</w:t>
            </w:r>
          </w:p>
        </w:tc>
        <w:tc>
          <w:tcPr>
            <w:tcW w:w="2280" w:type="dxa"/>
            <w:vAlign w:val="bottom"/>
          </w:tcPr>
          <w:p>
            <w:pPr>
              <w:jc w:val="center"/>
              <w:ind w:left="1014"/>
              <w:spacing w:after="0" w:line="145"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2"/>
              </w:rPr>
              <w:t>of incorporation)</w:t>
            </w:r>
          </w:p>
        </w:tc>
        <w:tc>
          <w:tcPr>
            <w:tcW w:w="4860" w:type="dxa"/>
            <w:vAlign w:val="bottom"/>
          </w:tcPr>
          <w:p>
            <w:pPr>
              <w:jc w:val="center"/>
              <w:ind w:left="670"/>
              <w:spacing w:after="0"/>
              <w:rPr>
                <w:sz w:val="20"/>
                <w:szCs w:val="20"/>
                <w:color w:val="auto"/>
              </w:rPr>
            </w:pPr>
            <w:r>
              <w:rPr>
                <w:rFonts w:ascii="Arial" w:cs="Arial" w:eastAsia="Arial" w:hAnsi="Arial"/>
                <w:sz w:val="14"/>
                <w:szCs w:val="14"/>
                <w:b w:val="1"/>
                <w:bCs w:val="1"/>
                <w:color w:val="auto"/>
                <w:w w:val="95"/>
              </w:rPr>
              <w:t>File Number)</w:t>
            </w:r>
          </w:p>
        </w:tc>
        <w:tc>
          <w:tcPr>
            <w:tcW w:w="2280" w:type="dxa"/>
            <w:vAlign w:val="bottom"/>
          </w:tcPr>
          <w:p>
            <w:pPr>
              <w:jc w:val="center"/>
              <w:ind w:left="1054"/>
              <w:spacing w:after="0"/>
              <w:rPr>
                <w:sz w:val="20"/>
                <w:szCs w:val="20"/>
                <w:color w:val="auto"/>
              </w:rPr>
            </w:pPr>
            <w:r>
              <w:rPr>
                <w:rFonts w:ascii="Arial" w:cs="Arial" w:eastAsia="Arial" w:hAnsi="Arial"/>
                <w:sz w:val="14"/>
                <w:szCs w:val="14"/>
                <w:b w:val="1"/>
                <w:bCs w:val="1"/>
                <w:color w:val="auto"/>
                <w:w w:val="96"/>
              </w:rPr>
              <w:t>Identification No.)</w:t>
            </w:r>
          </w:p>
        </w:tc>
      </w:tr>
      <w:tr>
        <w:trPr>
          <w:trHeight w:val="385"/>
        </w:trPr>
        <w:tc>
          <w:tcPr>
            <w:tcW w:w="1820" w:type="dxa"/>
            <w:vAlign w:val="bottom"/>
          </w:tcPr>
          <w:p>
            <w:pPr>
              <w:jc w:val="center"/>
              <w:spacing w:after="0"/>
              <w:rPr>
                <w:sz w:val="20"/>
                <w:szCs w:val="20"/>
                <w:color w:val="auto"/>
              </w:rPr>
            </w:pPr>
            <w:r>
              <w:rPr>
                <w:rFonts w:ascii="Arial" w:cs="Arial" w:eastAsia="Arial" w:hAnsi="Arial"/>
                <w:sz w:val="22"/>
                <w:szCs w:val="22"/>
                <w:b w:val="1"/>
                <w:bCs w:val="1"/>
                <w:color w:val="auto"/>
                <w:w w:val="87"/>
              </w:rPr>
              <w:t>49 Commons Loop</w:t>
            </w:r>
          </w:p>
        </w:tc>
        <w:tc>
          <w:tcPr>
            <w:tcW w:w="4860" w:type="dxa"/>
            <w:vAlign w:val="bottom"/>
          </w:tcPr>
          <w:p>
            <w:pPr>
              <w:ind w:left="100"/>
              <w:spacing w:after="0"/>
              <w:rPr>
                <w:sz w:val="20"/>
                <w:szCs w:val="20"/>
                <w:color w:val="auto"/>
              </w:rPr>
            </w:pPr>
            <w:r>
              <w:rPr>
                <w:rFonts w:ascii="Arial" w:cs="Arial" w:eastAsia="Arial" w:hAnsi="Arial"/>
                <w:sz w:val="22"/>
                <w:szCs w:val="22"/>
                <w:b w:val="1"/>
                <w:bCs w:val="1"/>
                <w:color w:val="auto"/>
              </w:rPr>
              <w:t>Kalispell,  Montana</w:t>
            </w:r>
          </w:p>
        </w:tc>
        <w:tc>
          <w:tcPr>
            <w:tcW w:w="2280" w:type="dxa"/>
            <w:vAlign w:val="bottom"/>
          </w:tcPr>
          <w:p>
            <w:pPr>
              <w:jc w:val="right"/>
              <w:ind w:right="1174"/>
              <w:spacing w:after="0"/>
              <w:rPr>
                <w:sz w:val="20"/>
                <w:szCs w:val="20"/>
                <w:color w:val="auto"/>
              </w:rPr>
            </w:pPr>
            <w:r>
              <w:rPr>
                <w:rFonts w:ascii="Arial" w:cs="Arial" w:eastAsia="Arial" w:hAnsi="Arial"/>
                <w:sz w:val="22"/>
                <w:szCs w:val="22"/>
                <w:b w:val="1"/>
                <w:bCs w:val="1"/>
                <w:color w:val="auto"/>
              </w:rPr>
              <w:t>59901</w:t>
            </w:r>
          </w:p>
        </w:tc>
      </w:tr>
      <w:tr>
        <w:trPr>
          <w:trHeight w:val="186"/>
        </w:trPr>
        <w:tc>
          <w:tcPr>
            <w:tcW w:w="6680" w:type="dxa"/>
            <w:vAlign w:val="bottom"/>
            <w:gridSpan w:val="2"/>
          </w:tcPr>
          <w:p>
            <w:pPr>
              <w:ind w:left="640"/>
              <w:spacing w:after="0"/>
              <w:rPr>
                <w:sz w:val="20"/>
                <w:szCs w:val="20"/>
                <w:color w:val="auto"/>
              </w:rPr>
            </w:pPr>
            <w:r>
              <w:rPr>
                <w:rFonts w:ascii="Arial" w:cs="Arial" w:eastAsia="Arial" w:hAnsi="Arial"/>
                <w:sz w:val="14"/>
                <w:szCs w:val="14"/>
                <w:b w:val="1"/>
                <w:bCs w:val="1"/>
                <w:color w:val="auto"/>
              </w:rPr>
              <w:t>(Address of principal executive offices)</w:t>
            </w:r>
          </w:p>
        </w:tc>
        <w:tc>
          <w:tcPr>
            <w:tcW w:w="2280" w:type="dxa"/>
            <w:vAlign w:val="bottom"/>
          </w:tcPr>
          <w:p>
            <w:pPr>
              <w:jc w:val="center"/>
              <w:ind w:right="694"/>
              <w:spacing w:after="0"/>
              <w:rPr>
                <w:sz w:val="20"/>
                <w:szCs w:val="20"/>
                <w:color w:val="auto"/>
              </w:rPr>
            </w:pPr>
            <w:r>
              <w:rPr>
                <w:rFonts w:ascii="Arial" w:cs="Arial" w:eastAsia="Arial" w:hAnsi="Arial"/>
                <w:sz w:val="14"/>
                <w:szCs w:val="14"/>
                <w:b w:val="1"/>
                <w:bCs w:val="1"/>
                <w:color w:val="auto"/>
                <w:w w:val="95"/>
              </w:rPr>
              <w:t>(Zip Code)</w:t>
            </w:r>
          </w:p>
        </w:tc>
      </w:tr>
      <w:tr>
        <w:trPr>
          <w:trHeight w:val="381"/>
        </w:trPr>
        <w:tc>
          <w:tcPr>
            <w:tcW w:w="1820" w:type="dxa"/>
            <w:vAlign w:val="bottom"/>
          </w:tcPr>
          <w:p>
            <w:pPr>
              <w:spacing w:after="0"/>
              <w:rPr>
                <w:sz w:val="24"/>
                <w:szCs w:val="24"/>
                <w:color w:val="auto"/>
              </w:rPr>
            </w:pPr>
          </w:p>
        </w:tc>
        <w:tc>
          <w:tcPr>
            <w:tcW w:w="4860" w:type="dxa"/>
            <w:vAlign w:val="bottom"/>
          </w:tcPr>
          <w:p>
            <w:pPr>
              <w:jc w:val="center"/>
              <w:ind w:left="610"/>
              <w:spacing w:after="0"/>
              <w:rPr>
                <w:sz w:val="20"/>
                <w:szCs w:val="20"/>
                <w:color w:val="auto"/>
              </w:rPr>
            </w:pPr>
            <w:r>
              <w:rPr>
                <w:rFonts w:ascii="Arial" w:cs="Arial" w:eastAsia="Arial" w:hAnsi="Arial"/>
                <w:sz w:val="22"/>
                <w:szCs w:val="22"/>
                <w:b w:val="1"/>
                <w:bCs w:val="1"/>
                <w:color w:val="auto"/>
                <w:w w:val="87"/>
              </w:rPr>
              <w:t>(406) 756-4200</w:t>
            </w:r>
          </w:p>
        </w:tc>
        <w:tc>
          <w:tcPr>
            <w:tcW w:w="2280" w:type="dxa"/>
            <w:vAlign w:val="bottom"/>
          </w:tcPr>
          <w:p>
            <w:pPr>
              <w:spacing w:after="0"/>
              <w:rPr>
                <w:sz w:val="24"/>
                <w:szCs w:val="24"/>
                <w:color w:val="auto"/>
              </w:rPr>
            </w:pPr>
          </w:p>
        </w:tc>
      </w:tr>
      <w:tr>
        <w:trPr>
          <w:trHeight w:val="186"/>
        </w:trPr>
        <w:tc>
          <w:tcPr>
            <w:tcW w:w="1820" w:type="dxa"/>
            <w:vAlign w:val="bottom"/>
          </w:tcPr>
          <w:p>
            <w:pPr>
              <w:spacing w:after="0"/>
              <w:rPr>
                <w:sz w:val="16"/>
                <w:szCs w:val="16"/>
                <w:color w:val="auto"/>
              </w:rPr>
            </w:pPr>
          </w:p>
        </w:tc>
        <w:tc>
          <w:tcPr>
            <w:tcW w:w="4860" w:type="dxa"/>
            <w:vAlign w:val="bottom"/>
          </w:tcPr>
          <w:p>
            <w:pPr>
              <w:ind w:left="120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2280" w:type="dxa"/>
            <w:vAlign w:val="bottom"/>
          </w:tcPr>
          <w:p>
            <w:pPr>
              <w:spacing w:after="0"/>
              <w:rPr>
                <w:sz w:val="16"/>
                <w:szCs w:val="16"/>
                <w:color w:val="auto"/>
              </w:rPr>
            </w:pPr>
          </w:p>
        </w:tc>
      </w:tr>
    </w:tbl>
    <w:p>
      <w:pPr>
        <w:spacing w:after="0" w:line="88" w:lineRule="exact"/>
        <w:rPr>
          <w:sz w:val="24"/>
          <w:szCs w:val="24"/>
          <w:color w:val="auto"/>
        </w:rPr>
      </w:pPr>
    </w:p>
    <w:p>
      <w:pPr>
        <w:ind w:left="3460"/>
        <w:spacing w:after="0"/>
        <w:rPr>
          <w:sz w:val="20"/>
          <w:szCs w:val="20"/>
          <w:color w:val="auto"/>
        </w:rPr>
      </w:pPr>
      <w:r>
        <w:rPr>
          <w:rFonts w:ascii="Arial" w:cs="Arial" w:eastAsia="Arial" w:hAnsi="Arial"/>
          <w:sz w:val="14"/>
          <w:szCs w:val="14"/>
          <w:color w:val="auto"/>
        </w:rPr>
        <w:t>____________________________________________________________</w:t>
      </w:r>
    </w:p>
    <w:p>
      <w:pPr>
        <w:spacing w:after="0" w:line="246" w:lineRule="exact"/>
        <w:rPr>
          <w:sz w:val="24"/>
          <w:szCs w:val="24"/>
          <w:color w:val="auto"/>
        </w:rPr>
      </w:pPr>
    </w:p>
    <w:p>
      <w:pPr>
        <w:ind w:right="20"/>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69" w:lineRule="exact"/>
        <w:rPr>
          <w:sz w:val="24"/>
          <w:szCs w:val="24"/>
          <w:color w:val="auto"/>
        </w:rPr>
      </w:pPr>
    </w:p>
    <w:p>
      <w:pPr>
        <w:ind w:left="640" w:hanging="227"/>
        <w:spacing w:after="0"/>
        <w:tabs>
          <w:tab w:leader="none" w:pos="64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color w:val="auto"/>
        </w:rPr>
        <w:t>Written communications pursuant to Rule 425 under the Securities Act (17 CFR 230.425)</w:t>
      </w:r>
    </w:p>
    <w:p>
      <w:pPr>
        <w:spacing w:after="0" w:line="15" w:lineRule="exact"/>
        <w:rPr>
          <w:rFonts w:ascii="MS PGothic" w:cs="MS PGothic" w:eastAsia="MS PGothic" w:hAnsi="MS PGothic"/>
          <w:sz w:val="20"/>
          <w:szCs w:val="20"/>
          <w:color w:val="auto"/>
          <w:highlight w:val="black"/>
        </w:rPr>
      </w:pPr>
    </w:p>
    <w:p>
      <w:pPr>
        <w:ind w:left="640" w:hanging="227"/>
        <w:spacing w:after="0"/>
        <w:tabs>
          <w:tab w:leader="none" w:pos="64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color w:val="auto"/>
        </w:rPr>
        <w:t>Soliciting material pursuant to Rule 14a-12 under the Exchange Act (17 CFR 240.14a-12)</w:t>
      </w:r>
    </w:p>
    <w:p>
      <w:pPr>
        <w:ind w:left="640" w:hanging="227"/>
        <w:spacing w:after="0"/>
        <w:tabs>
          <w:tab w:leader="none" w:pos="64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color w:val="auto"/>
        </w:rPr>
        <w:t>Pre-commencement communications pursuant to Rule 14d-2(b) under the Exchange Act (17 CFR 240.14d-2(b))</w:t>
      </w:r>
    </w:p>
    <w:p>
      <w:pPr>
        <w:ind w:left="640" w:hanging="227"/>
        <w:spacing w:after="0"/>
        <w:tabs>
          <w:tab w:leader="none" w:pos="64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color w:val="auto"/>
        </w:rPr>
        <w:t>Pre-commencement communications pursuant to Rule 13e-4(c) under the Exchange Act (17 CFR 240.13e-4(c))</w:t>
      </w:r>
    </w:p>
    <w:p>
      <w:pPr>
        <w:spacing w:after="0" w:line="146" w:lineRule="exact"/>
        <w:rPr>
          <w:sz w:val="24"/>
          <w:szCs w:val="24"/>
          <w:color w:val="auto"/>
        </w:rPr>
      </w:pPr>
    </w:p>
    <w:p>
      <w:pPr>
        <w:spacing w:after="0"/>
        <w:rPr>
          <w:sz w:val="20"/>
          <w:szCs w:val="20"/>
          <w:color w:val="auto"/>
        </w:rPr>
      </w:pPr>
      <w:r>
        <w:rPr>
          <w:rFonts w:ascii="Arial" w:cs="Arial" w:eastAsia="Arial" w:hAnsi="Arial"/>
          <w:sz w:val="20"/>
          <w:szCs w:val="20"/>
          <w:color w:val="auto"/>
        </w:rPr>
        <w:t>Securities registered pursuant to Section 12(b) of the Act:</w:t>
      </w:r>
    </w:p>
    <w:p>
      <w:pPr>
        <w:spacing w:after="0" w:line="23" w:lineRule="exact"/>
        <w:rPr>
          <w:sz w:val="24"/>
          <w:szCs w:val="24"/>
          <w:color w:val="auto"/>
        </w:rPr>
      </w:pPr>
    </w:p>
    <w:tbl>
      <w:tblPr>
        <w:tblLayout w:type="fixed"/>
        <w:tblInd w:w="10" w:type="dxa"/>
        <w:tblCellMar>
          <w:top w:w="0" w:type="dxa"/>
          <w:left w:w="0" w:type="dxa"/>
          <w:bottom w:w="0" w:type="dxa"/>
          <w:right w:w="0" w:type="dxa"/>
        </w:tblCellMar>
      </w:tblPr>
      <w:tr>
        <w:trPr>
          <w:trHeight w:val="256"/>
        </w:trPr>
        <w:tc>
          <w:tcPr>
            <w:tcW w:w="4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Trading Symbol(s)</w:t>
            </w:r>
          </w:p>
        </w:tc>
        <w:tc>
          <w:tcPr>
            <w:tcW w:w="4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Name of each exchange on which registered</w:t>
            </w:r>
          </w:p>
        </w:tc>
      </w:tr>
      <w:tr>
        <w:trPr>
          <w:trHeight w:val="237"/>
        </w:trPr>
        <w:tc>
          <w:tcPr>
            <w:tcW w:w="4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Common Stock, $0.01 par value</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GBCI</w:t>
            </w:r>
          </w:p>
        </w:tc>
        <w:tc>
          <w:tcPr>
            <w:tcW w:w="4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NASDAQ Global Select Market</w:t>
            </w:r>
          </w:p>
        </w:tc>
      </w:tr>
    </w:tbl>
    <w:p>
      <w:pPr>
        <w:spacing w:after="0" w:line="321" w:lineRule="exact"/>
        <w:rPr>
          <w:sz w:val="24"/>
          <w:szCs w:val="24"/>
          <w:color w:val="auto"/>
        </w:rPr>
      </w:pPr>
    </w:p>
    <w:p>
      <w:pPr>
        <w:jc w:val="both"/>
        <w:ind w:right="20"/>
        <w:spacing w:after="0" w:line="256" w:lineRule="auto"/>
        <w:rPr>
          <w:sz w:val="20"/>
          <w:szCs w:val="20"/>
          <w:color w:val="auto"/>
        </w:rPr>
      </w:pPr>
      <w:r>
        <w:rPr>
          <w:rFonts w:ascii="Arial" w:cs="Arial" w:eastAsia="Arial" w:hAnsi="Arial"/>
          <w:sz w:val="19"/>
          <w:szCs w:val="19"/>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660"/>
        <w:spacing w:after="0" w:line="230" w:lineRule="exact"/>
        <w:rPr>
          <w:sz w:val="20"/>
          <w:szCs w:val="20"/>
          <w:color w:val="auto"/>
        </w:rPr>
      </w:pPr>
      <w:r>
        <w:rPr>
          <w:rFonts w:ascii="Arial" w:cs="Arial" w:eastAsia="Arial" w:hAnsi="Arial"/>
          <w:sz w:val="20"/>
          <w:szCs w:val="20"/>
          <w:color w:val="auto"/>
        </w:rPr>
        <w:t xml:space="preserve">Emerging growth company </w:t>
      </w:r>
      <w:r>
        <w:rPr>
          <w:rFonts w:ascii="MS PGothic" w:cs="MS PGothic" w:eastAsia="MS PGothic" w:hAnsi="MS PGothic"/>
          <w:sz w:val="20"/>
          <w:szCs w:val="20"/>
          <w:color w:val="auto"/>
          <w:highlight w:val="black"/>
        </w:rPr>
        <w:t>☐</w:t>
      </w:r>
    </w:p>
    <w:p>
      <w:pPr>
        <w:spacing w:after="0" w:line="234" w:lineRule="exact"/>
        <w:rPr>
          <w:sz w:val="24"/>
          <w:szCs w:val="24"/>
          <w:color w:val="auto"/>
        </w:rPr>
      </w:pPr>
    </w:p>
    <w:p>
      <w:pPr>
        <w:ind w:right="200"/>
        <w:spacing w:after="0" w:line="251"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528955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85" w:right="319" w:bottom="1440" w:gutter="0" w:footer="0" w:header="0"/>
        </w:sectPr>
      </w:pPr>
    </w:p>
    <w:bookmarkStart w:id="1" w:name="page2"/>
    <w:bookmarkEnd w:id="1"/>
    <w:p>
      <w:pPr>
        <w:jc w:val="both"/>
        <w:spacing w:after="0" w:line="252" w:lineRule="auto"/>
        <w:rPr>
          <w:sz w:val="20"/>
          <w:szCs w:val="20"/>
          <w:color w:val="auto"/>
        </w:rPr>
      </w:pPr>
      <w:r>
        <w:rPr>
          <w:rFonts w:ascii="Arial" w:cs="Arial" w:eastAsia="Arial" w:hAnsi="Arial"/>
          <w:sz w:val="20"/>
          <w:szCs w:val="20"/>
          <w:b w:val="1"/>
          <w:bCs w:val="1"/>
          <w:color w:val="auto"/>
        </w:rPr>
        <w:t>Item 3.01 NOTICE OF DELISTING OR FAILURE TO SATISFY A CONTINUED LISTING RULE OR STANDARD; TRANSFER OF LISTING</w:t>
      </w:r>
    </w:p>
    <w:p>
      <w:pPr>
        <w:spacing w:after="0" w:line="193"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On December 6, 2021, Glacier Bancorp, Inc. (the “Company”), acting pursuant to authorization from its Board of Directors, provided written notice to The Nasdaq Stock Market LLC (“Nasdaq”) of its determination to voluntarily withdraw the principal listing of the Company’s common stock, $0.01 par value (the “Common Stock”), from Nasdaq and transfer the listing to the New York Stock Exchange (“NYSE”). The Company expects that listing and trading of the Common Stock on Nasdaq will end at market close on December 16, 2021, and that trading will commence on the NYSE at market open on December 17, 2021.</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The Common Stock has been authorized for listing on the NYSE, where it will continue to trade under the stock symbol “GBCI.”</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On December 6, 2021, the Company issued a press release announcing the anticipated transfer of the principal listing of the Common Stock to the NYSE. A copy of the press release is attached hereto as Exhibit 99.1 and is incorporated herein by reference.</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53" w:lineRule="exact"/>
        <w:rPr>
          <w:sz w:val="20"/>
          <w:szCs w:val="20"/>
          <w:color w:val="auto"/>
        </w:rPr>
      </w:pPr>
    </w:p>
    <w:p>
      <w:pPr>
        <w:ind w:left="1120" w:hanging="464"/>
        <w:spacing w:after="0"/>
        <w:tabs>
          <w:tab w:leader="none" w:pos="1120" w:val="left"/>
        </w:tabs>
        <w:numPr>
          <w:ilvl w:val="0"/>
          <w:numId w:val="2"/>
        </w:numPr>
        <w:rPr>
          <w:rFonts w:ascii="Arial" w:cs="Arial" w:eastAsia="Arial" w:hAnsi="Arial"/>
          <w:sz w:val="22"/>
          <w:szCs w:val="22"/>
          <w:color w:val="auto"/>
        </w:rPr>
      </w:pPr>
      <w:r>
        <w:rPr>
          <w:rFonts w:ascii="Arial" w:cs="Arial" w:eastAsia="Arial" w:hAnsi="Arial"/>
          <w:sz w:val="22"/>
          <w:szCs w:val="22"/>
          <w:color w:val="auto"/>
        </w:rPr>
        <w:t>Exhibits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 copy of the press release described in Item 7.01 is furnished with this report as Exhibit 99.1.</w:t>
      </w:r>
    </w:p>
    <w:p>
      <w:pPr>
        <w:spacing w:after="0" w:line="220" w:lineRule="exact"/>
        <w:rPr>
          <w:sz w:val="20"/>
          <w:szCs w:val="20"/>
          <w:color w:val="auto"/>
        </w:rPr>
      </w:pPr>
    </w:p>
    <w:p>
      <w:pPr>
        <w:ind w:left="1300"/>
        <w:spacing w:after="0"/>
        <w:rPr>
          <w:rFonts w:ascii="Arial" w:cs="Arial" w:eastAsia="Arial" w:hAnsi="Arial"/>
          <w:sz w:val="20"/>
          <w:szCs w:val="20"/>
          <w:color w:val="0000FF"/>
        </w:rPr>
      </w:pPr>
      <w:hyperlink w:anchor="page4">
        <w:r>
          <w:rPr>
            <w:rFonts w:ascii="Arial" w:cs="Arial" w:eastAsia="Arial" w:hAnsi="Arial"/>
            <w:sz w:val="20"/>
            <w:szCs w:val="20"/>
            <w:u w:val="single" w:color="auto"/>
            <w:color w:val="0000FF"/>
          </w:rPr>
          <w:t>99.1</w:t>
        </w:r>
        <w:r>
          <w:rPr>
            <w:rFonts w:ascii="Arial" w:cs="Arial" w:eastAsia="Arial" w:hAnsi="Arial"/>
            <w:sz w:val="20"/>
            <w:szCs w:val="20"/>
            <w:color w:val="0000FF"/>
          </w:rPr>
          <w:t xml:space="preserve"> </w:t>
        </w:r>
      </w:hyperlink>
      <w:r>
        <w:rPr>
          <w:rFonts w:ascii="Arial" w:cs="Arial" w:eastAsia="Arial" w:hAnsi="Arial"/>
          <w:sz w:val="20"/>
          <w:szCs w:val="20"/>
          <w:color w:val="000000"/>
        </w:rPr>
        <w:t>Press</w:t>
      </w:r>
      <w:r>
        <w:rPr>
          <w:rFonts w:ascii="Arial" w:cs="Arial" w:eastAsia="Arial" w:hAnsi="Arial"/>
          <w:sz w:val="20"/>
          <w:szCs w:val="20"/>
          <w:color w:val="0000FF"/>
        </w:rPr>
        <w:t xml:space="preserve"> </w:t>
      </w:r>
      <w:r>
        <w:rPr>
          <w:rFonts w:ascii="Arial" w:cs="Arial" w:eastAsia="Arial" w:hAnsi="Arial"/>
          <w:sz w:val="20"/>
          <w:szCs w:val="20"/>
          <w:color w:val="000000"/>
        </w:rPr>
        <w:t>Release dated December 6</w:t>
      </w:r>
      <w:r>
        <w:rPr>
          <w:rFonts w:ascii="Arial" w:cs="Arial" w:eastAsia="Arial" w:hAnsi="Arial"/>
          <w:sz w:val="21"/>
          <w:szCs w:val="21"/>
          <w:color w:val="0070C0"/>
        </w:rPr>
        <w:t>,</w:t>
      </w:r>
      <w:r>
        <w:rPr>
          <w:rFonts w:ascii="Arial" w:cs="Arial" w:eastAsia="Arial" w:hAnsi="Arial"/>
          <w:sz w:val="20"/>
          <w:szCs w:val="20"/>
          <w:color w:val="0000FF"/>
        </w:rPr>
        <w:t xml:space="preserve"> </w:t>
      </w:r>
      <w:r>
        <w:rPr>
          <w:rFonts w:ascii="Arial" w:cs="Arial" w:eastAsia="Arial" w:hAnsi="Arial"/>
          <w:sz w:val="20"/>
          <w:szCs w:val="20"/>
          <w:color w:val="000000"/>
        </w:rPr>
        <w:t>2021</w:t>
      </w:r>
    </w:p>
    <w:p>
      <w:pPr>
        <w:spacing w:after="0" w:line="245"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2"/>
          <w:szCs w:val="22"/>
          <w:color w:val="auto"/>
        </w:rPr>
        <w:t>104</w:t>
      </w:r>
      <w:r>
        <w:rPr>
          <w:sz w:val="20"/>
          <w:szCs w:val="20"/>
          <w:color w:val="auto"/>
        </w:rPr>
        <w:tab/>
      </w:r>
      <w:r>
        <w:rPr>
          <w:rFonts w:ascii="Arial" w:cs="Arial" w:eastAsia="Arial" w:hAnsi="Arial"/>
          <w:sz w:val="19"/>
          <w:szCs w:val="19"/>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706120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 w:name="page3"/>
    <w:bookmarkEnd w:id="2"/>
    <w:p>
      <w:pPr>
        <w:ind w:left="4920"/>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69"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29" w:lineRule="exact"/>
        <w:rPr>
          <w:sz w:val="20"/>
          <w:szCs w:val="20"/>
          <w:color w:val="auto"/>
        </w:rPr>
      </w:pPr>
    </w:p>
    <w:p>
      <w:pPr>
        <w:ind w:left="880"/>
        <w:spacing w:after="0"/>
        <w:tabs>
          <w:tab w:leader="none" w:pos="1700" w:val="left"/>
          <w:tab w:leader="none" w:pos="5260" w:val="left"/>
        </w:tabs>
        <w:rPr>
          <w:sz w:val="20"/>
          <w:szCs w:val="20"/>
          <w:color w:val="auto"/>
        </w:rPr>
      </w:pPr>
      <w:r>
        <w:rPr>
          <w:rFonts w:ascii="Arial" w:cs="Arial" w:eastAsia="Arial" w:hAnsi="Arial"/>
          <w:sz w:val="22"/>
          <w:szCs w:val="22"/>
          <w:color w:val="auto"/>
        </w:rPr>
        <w:t>Dated:</w:t>
        <w:tab/>
        <w:t>December 6, 2021</w:t>
      </w:r>
      <w:r>
        <w:rPr>
          <w:sz w:val="20"/>
          <w:szCs w:val="20"/>
          <w:color w:val="auto"/>
        </w:rPr>
        <w:tab/>
      </w:r>
      <w:r>
        <w:rPr>
          <w:rFonts w:ascii="Arial" w:cs="Arial" w:eastAsia="Arial" w:hAnsi="Arial"/>
          <w:sz w:val="19"/>
          <w:szCs w:val="19"/>
          <w:color w:val="auto"/>
        </w:rPr>
        <w:t>GLACIER BANCORP, INC.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/s/ Randall M. Chesler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15875</wp:posOffset>
            </wp:positionV>
            <wp:extent cx="32575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11" w:lineRule="exact"/>
        <w:rPr>
          <w:sz w:val="20"/>
          <w:szCs w:val="20"/>
          <w:color w:val="auto"/>
        </w:rPr>
      </w:pPr>
    </w:p>
    <w:p>
      <w:pPr>
        <w:ind w:left="5280"/>
        <w:spacing w:after="0"/>
        <w:tabs>
          <w:tab w:leader="none" w:pos="5860" w:val="left"/>
        </w:tabs>
        <w:rPr>
          <w:sz w:val="20"/>
          <w:szCs w:val="20"/>
          <w:color w:val="auto"/>
        </w:rPr>
      </w:pPr>
      <w:r>
        <w:rPr>
          <w:rFonts w:ascii="Arial" w:cs="Arial" w:eastAsia="Arial" w:hAnsi="Arial"/>
          <w:sz w:val="22"/>
          <w:szCs w:val="22"/>
          <w:color w:val="auto"/>
        </w:rPr>
        <w:t>By:</w:t>
        <w:tab/>
        <w:t>Randall M. Chesler</w:t>
      </w:r>
    </w:p>
    <w:p>
      <w:pPr>
        <w:spacing w:after="0" w:line="21" w:lineRule="exact"/>
        <w:rPr>
          <w:sz w:val="20"/>
          <w:szCs w:val="20"/>
          <w:color w:val="auto"/>
        </w:rPr>
      </w:pPr>
    </w:p>
    <w:p>
      <w:pPr>
        <w:ind w:left="5880"/>
        <w:spacing w:after="0"/>
        <w:rPr>
          <w:sz w:val="20"/>
          <w:szCs w:val="20"/>
          <w:color w:val="auto"/>
        </w:rPr>
      </w:pPr>
      <w:r>
        <w:rPr>
          <w:rFonts w:ascii="Arial" w:cs="Arial" w:eastAsia="Arial" w:hAnsi="Arial"/>
          <w:sz w:val="22"/>
          <w:szCs w:val="22"/>
          <w:color w:val="auto"/>
        </w:rPr>
        <w:t>President and Chief Executive Officer</w:t>
      </w:r>
    </w:p>
    <w:p>
      <w:pPr>
        <w:sectPr>
          <w:pgSz w:w="11900" w:h="16838" w:orient="portrait"/>
          <w:cols w:equalWidth="0" w:num="1">
            <w:col w:w="10660"/>
          </w:cols>
          <w:pgMar w:left="320" w:top="895" w:right="9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500380</wp:posOffset>
            </wp:positionV>
            <wp:extent cx="5349240" cy="677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7754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NEWS RELEASE</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December 6, 2021</w:t>
      </w:r>
    </w:p>
    <w:p>
      <w:pPr>
        <w:spacing w:after="0" w:line="200" w:lineRule="exact"/>
        <w:rPr>
          <w:sz w:val="20"/>
          <w:szCs w:val="20"/>
          <w:color w:val="auto"/>
        </w:rPr>
      </w:pPr>
    </w:p>
    <w:p>
      <w:pPr>
        <w:spacing w:after="0" w:line="326" w:lineRule="exact"/>
        <w:rPr>
          <w:sz w:val="20"/>
          <w:szCs w:val="20"/>
          <w:color w:val="auto"/>
        </w:rPr>
      </w:pPr>
    </w:p>
    <w:p>
      <w:pPr>
        <w:ind w:left="20"/>
        <w:spacing w:after="0"/>
        <w:tabs>
          <w:tab w:leader="none" w:pos="7880" w:val="left"/>
        </w:tabs>
        <w:rPr>
          <w:sz w:val="20"/>
          <w:szCs w:val="20"/>
          <w:color w:val="auto"/>
        </w:rPr>
      </w:pPr>
      <w:r>
        <w:rPr>
          <w:rFonts w:ascii="Arial" w:cs="Arial" w:eastAsia="Arial" w:hAnsi="Arial"/>
          <w:sz w:val="22"/>
          <w:szCs w:val="22"/>
          <w:u w:val="single" w:color="auto"/>
          <w:color w:val="auto"/>
        </w:rPr>
        <w:t>FOR IMMEDIATE RELEASE</w:t>
      </w:r>
      <w:r>
        <w:rPr>
          <w:sz w:val="20"/>
          <w:szCs w:val="20"/>
          <w:color w:val="auto"/>
        </w:rPr>
        <w:tab/>
      </w:r>
      <w:r>
        <w:rPr>
          <w:rFonts w:ascii="Arial" w:cs="Arial" w:eastAsia="Arial" w:hAnsi="Arial"/>
          <w:sz w:val="19"/>
          <w:szCs w:val="19"/>
          <w:color w:val="auto"/>
        </w:rPr>
        <w:t>CONTACT: Randall M. Chesler, CEO</w:t>
      </w:r>
    </w:p>
    <w:p>
      <w:pPr>
        <w:spacing w:after="0" w:line="58" w:lineRule="exact"/>
        <w:rPr>
          <w:sz w:val="20"/>
          <w:szCs w:val="20"/>
          <w:color w:val="auto"/>
        </w:rPr>
      </w:pPr>
    </w:p>
    <w:p>
      <w:pPr>
        <w:jc w:val="right"/>
        <w:ind w:right="20"/>
        <w:spacing w:after="0"/>
        <w:rPr>
          <w:sz w:val="20"/>
          <w:szCs w:val="20"/>
          <w:color w:val="auto"/>
        </w:rPr>
      </w:pPr>
      <w:r>
        <w:rPr>
          <w:rFonts w:ascii="Arial" w:cs="Arial" w:eastAsia="Arial" w:hAnsi="Arial"/>
          <w:sz w:val="22"/>
          <w:szCs w:val="22"/>
          <w:color w:val="auto"/>
        </w:rPr>
        <w:t>(406) 751-4722</w:t>
      </w:r>
    </w:p>
    <w:p>
      <w:pPr>
        <w:spacing w:after="0" w:line="58" w:lineRule="exact"/>
        <w:rPr>
          <w:sz w:val="20"/>
          <w:szCs w:val="20"/>
          <w:color w:val="auto"/>
        </w:rPr>
      </w:pPr>
    </w:p>
    <w:p>
      <w:pPr>
        <w:jc w:val="right"/>
        <w:ind w:right="20"/>
        <w:spacing w:after="0"/>
        <w:rPr>
          <w:sz w:val="20"/>
          <w:szCs w:val="20"/>
          <w:color w:val="auto"/>
        </w:rPr>
      </w:pPr>
      <w:r>
        <w:rPr>
          <w:rFonts w:ascii="Arial" w:cs="Arial" w:eastAsia="Arial" w:hAnsi="Arial"/>
          <w:sz w:val="22"/>
          <w:szCs w:val="22"/>
          <w:color w:val="auto"/>
        </w:rPr>
        <w:t>Ron J. Copher, CFO</w:t>
      </w:r>
    </w:p>
    <w:p>
      <w:pPr>
        <w:spacing w:after="0" w:line="58" w:lineRule="exact"/>
        <w:rPr>
          <w:sz w:val="20"/>
          <w:szCs w:val="20"/>
          <w:color w:val="auto"/>
        </w:rPr>
      </w:pPr>
    </w:p>
    <w:p>
      <w:pPr>
        <w:jc w:val="right"/>
        <w:ind w:right="20"/>
        <w:spacing w:after="0"/>
        <w:rPr>
          <w:sz w:val="20"/>
          <w:szCs w:val="20"/>
          <w:color w:val="auto"/>
        </w:rPr>
      </w:pPr>
      <w:r>
        <w:rPr>
          <w:rFonts w:ascii="Arial" w:cs="Arial" w:eastAsia="Arial" w:hAnsi="Arial"/>
          <w:sz w:val="22"/>
          <w:szCs w:val="22"/>
          <w:color w:val="auto"/>
        </w:rPr>
        <w:t>(406) 751-7706</w:t>
      </w:r>
    </w:p>
    <w:p>
      <w:pPr>
        <w:spacing w:after="0" w:line="83" w:lineRule="exact"/>
        <w:rPr>
          <w:sz w:val="20"/>
          <w:szCs w:val="20"/>
          <w:color w:val="auto"/>
        </w:rPr>
      </w:pPr>
    </w:p>
    <w:p>
      <w:pPr>
        <w:jc w:val="center"/>
        <w:spacing w:after="0" w:line="239" w:lineRule="auto"/>
        <w:rPr>
          <w:sz w:val="20"/>
          <w:szCs w:val="20"/>
          <w:color w:val="auto"/>
        </w:rPr>
      </w:pPr>
      <w:r>
        <w:rPr>
          <w:rFonts w:ascii="Arial" w:cs="Arial" w:eastAsia="Arial" w:hAnsi="Arial"/>
          <w:sz w:val="25"/>
          <w:szCs w:val="25"/>
          <w:b w:val="1"/>
          <w:bCs w:val="1"/>
          <w:color w:val="auto"/>
        </w:rPr>
        <w:t>GLACIER BANCORP, INC. ANNOUNCES TRANSFER OF COMMON STOCK LISTING TO THE NEW YORK STOCK EXCHANGE</w:t>
      </w:r>
    </w:p>
    <w:p>
      <w:pPr>
        <w:jc w:val="both"/>
        <w:spacing w:after="0" w:line="262" w:lineRule="auto"/>
        <w:rPr>
          <w:sz w:val="20"/>
          <w:szCs w:val="20"/>
          <w:color w:val="auto"/>
        </w:rPr>
      </w:pPr>
      <w:r>
        <w:rPr>
          <w:rFonts w:ascii="Arial" w:cs="Arial" w:eastAsia="Arial" w:hAnsi="Arial"/>
          <w:sz w:val="19"/>
          <w:szCs w:val="19"/>
          <w:color w:val="auto"/>
        </w:rPr>
        <w:t>KALISPELL, MONTANA – Glacier Bancorp, Inc. (NASDAQ: GBCI), a community banking leader in the Western United States and recognized by Forbes as one of the best banks in the country, today announced that it is transferring the listing of its common stock to the New York Stock Exchange (NYSE) from The NASDAQ Global Select Market. Glacier Bancorp’s common stock will begin trading on the NYSE on December 17, 2021 under its current ticker symbol of ‘GBCI’. Glacier Bancorp will continue to trade its common stock on NASDAQ until the close of the market on December 16, 2021.</w:t>
      </w:r>
    </w:p>
    <w:p>
      <w:pPr>
        <w:spacing w:after="0" w:line="180" w:lineRule="exact"/>
        <w:rPr>
          <w:sz w:val="20"/>
          <w:szCs w:val="20"/>
          <w:color w:val="auto"/>
        </w:rPr>
      </w:pPr>
    </w:p>
    <w:p>
      <w:pPr>
        <w:jc w:val="both"/>
        <w:spacing w:after="0" w:line="228" w:lineRule="auto"/>
        <w:rPr>
          <w:sz w:val="20"/>
          <w:szCs w:val="20"/>
          <w:color w:val="auto"/>
        </w:rPr>
      </w:pPr>
      <w:r>
        <w:rPr>
          <w:rFonts w:ascii="Arial" w:cs="Arial" w:eastAsia="Arial" w:hAnsi="Arial"/>
          <w:sz w:val="22"/>
          <w:szCs w:val="22"/>
          <w:color w:val="auto"/>
        </w:rPr>
        <w:t>“Glacier Bancorp is pleased to join the NYSE alongside many of the world’s most well-established and regarded companies,” said Randy Chesler, President and CEO of Glacier Bancorp. “This move is part of our strategic evolution as we continue to focus on generating long-term value for our shareholders. We are grateful for our past partnership with NASDAQ and look forward to our future with the NYSE.”</w:t>
      </w:r>
    </w:p>
    <w:p>
      <w:pPr>
        <w:spacing w:after="0" w:line="200"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“We are excited to welcome Glacier Bancorp, one of the country’s prominent regional banks, as it joins the NYSE’s community of icons and disruptors,” said John Tuttle, Vice Chairman and Chief Commercial Officer, NYSE Group.</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Glacier Bancorp, Inc. is the parent company for Glacier Bank and its bank divisions: Altabank (American Fork, UT), Bank of the San Juans (Durango, CO), Citizens Community Bank (Pocatello, ID), Collegiate Peaks Bank (Buena Vista, CO), First Bank of Montana (Lewistown, MT), First Bank of Wyoming (Powell, WY), First Community Bank Utah (Layton, UT), First Security Bank (Bozeman, MT), First Security Bank of Missoula (Missoula, MT), First State Bank (Wheatland, WY), Glacier Bank (Kalispell, MT), Heritage Bank of Nevada (Reno, NV), Mountain West Bank (Coeur d’Alene, ID), North Cascades Bank (Chelan, WA), The Foothills Bank (Yuma, AZ), Valley Bank of Helena (Helena, MT), and Western Security Bank (Billings, MT).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color w:val="auto"/>
        </w:rPr>
        <w:t>Visit Glacier’s website at http://www.glacierbancorp.com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2021-12-06T16:24:58Z</dcterms:created>
  <dcterms:modified xsi:type="dcterms:W3CDTF">2021-12-06T16:24:58Z</dcterms:modified>
</cp:coreProperties>
</file>