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pPr>
      <w:r>
        <w:rPr>
          <w:rFonts w:ascii="Times New Roman;sans-serif" w:hAnsi="Times New Roman;sans-serif"/>
          <w:b/>
          <w:color w:val="000000"/>
          <w:sz w:val="22"/>
        </w:rPr>
        <w:t>Washington, D.C. 20549</w:t>
      </w:r>
      <w:r>
        <w:rPr>
          <w:color w:val="000000"/>
        </w:rPr>
        <w:t>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19"/>
        </w:rPr>
        <w:t xml:space="preserve">QUARTERLY REPORT PURSUANT TO SECTION 13 OR 15(d) OF THE SECURITIES EXCHANGE ACT OF 1934 </w:t>
      </w:r>
      <w:r>
        <w:rPr>
          <w:rFonts w:ascii="Times New Roman;sans-serif" w:hAnsi="Times New Roman;sans-serif"/>
          <w:b/>
          <w:color w:val="000000"/>
          <w:sz w:val="20"/>
        </w:rPr>
        <w:t xml:space="preserve">For the quarterly period ended March 31,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19"/>
        </w:rPr>
        <w:t xml:space="preserve">TRANSITION REPORT PURSUANT TO SECTION 13 OR 15(d) OF THE SECURITIES EXCHANGE ACT OF 1934 </w:t>
      </w:r>
      <w:r>
        <w:rPr>
          <w:rFonts w:ascii="Times New Roman;sans-serif" w:hAnsi="Times New Roman;sans-serif"/>
          <w:b/>
          <w:color w:val="000000"/>
          <w:sz w:val="20"/>
        </w:rPr>
        <w:t>For the transition period from __________ to __________             </w:t>
      </w:r>
    </w:p>
    <w:p>
      <w:pPr>
        <w:pStyle w:val="TextBody"/>
        <w:bidi w:val="0"/>
        <w:spacing w:lineRule="auto" w:line="288" w:before="180" w:after="283"/>
        <w:jc w:val="center"/>
        <w:rPr/>
      </w:pPr>
      <w:r>
        <w:rPr>
          <w:rFonts w:ascii="Times New Roman;sans-serif" w:hAnsi="Times New Roman;sans-serif"/>
          <w:b/>
          <w:color w:val="000000"/>
          <w:sz w:val="24"/>
        </w:rPr>
        <w:t xml:space="preserve">Commission file number </w:t>
      </w:r>
      <w:r>
        <w:rPr>
          <w:rFonts w:ascii="Times New Roman;sans-serif" w:hAnsi="Times New Roman;sans-serif"/>
          <w:b/>
          <w:color w:val="000000"/>
          <w:sz w:val="24"/>
          <w:u w:val="single"/>
        </w:rPr>
        <w:t>000-18911</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GLACIER BANCORP,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____________________________________________________________</w:t>
      </w:r>
    </w:p>
    <w:tbl>
      <w:tblPr>
        <w:tblW w:w="7330" w:type="dxa"/>
        <w:jc w:val="center"/>
        <w:tblInd w:w="0" w:type="dxa"/>
        <w:tblLayout w:type="fixed"/>
        <w:tblCellMar>
          <w:top w:w="28" w:type="dxa"/>
          <w:left w:w="28" w:type="dxa"/>
          <w:bottom w:w="28" w:type="dxa"/>
          <w:right w:w="28" w:type="dxa"/>
        </w:tblCellMar>
      </w:tblPr>
      <w:tblGrid>
        <w:gridCol w:w="626"/>
        <w:gridCol w:w="549"/>
        <w:gridCol w:w="549"/>
        <w:gridCol w:w="498"/>
        <w:gridCol w:w="498"/>
        <w:gridCol w:w="498"/>
        <w:gridCol w:w="498"/>
        <w:gridCol w:w="498"/>
        <w:gridCol w:w="506"/>
        <w:gridCol w:w="762"/>
        <w:gridCol w:w="762"/>
        <w:gridCol w:w="108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81-0519541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 Commons Loop</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Kalispell,</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59901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(406)</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756-4200</w:t>
            </w:r>
          </w:p>
        </w:tc>
      </w:tr>
      <w:tr>
        <w:trPr/>
        <w:tc>
          <w:tcPr>
            <w:tcW w:w="7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c>
      </w:tr>
    </w:tbl>
    <w:p>
      <w:pPr>
        <w:pStyle w:val="TextBody"/>
        <w:bidi w:val="0"/>
        <w:spacing w:lineRule="auto" w:line="288" w:before="80" w:after="283"/>
        <w:jc w:val="center"/>
        <w:rPr/>
      </w:pPr>
      <w:r>
        <w:rPr>
          <w:color w:val="000000"/>
        </w:rPr>
        <w:t> </w:t>
      </w:r>
      <w:r>
        <w:rPr>
          <w:rFonts w:ascii="Times New Roman;sans-serif" w:hAnsi="Times New Roman;sans-serif"/>
          <w:b w:val="false"/>
          <w:color w:val="000000"/>
          <w:sz w:val="16"/>
        </w:rPr>
        <w:t>____________________________________________________________</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GBCI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New York Stock Exchange</w:t>
            </w:r>
          </w:p>
        </w:tc>
      </w:tr>
    </w:tbl>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Registrant’s common stock outstanding on April 14, 2025 was 113,517,944. No preferred shares are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626" w:type="dxa"/>
        <w:jc w:val="left"/>
        <w:tblInd w:w="0" w:type="dxa"/>
        <w:tblLayout w:type="fixed"/>
        <w:tblCellMar>
          <w:top w:w="28" w:type="dxa"/>
          <w:left w:w="28" w:type="dxa"/>
          <w:bottom w:w="28" w:type="dxa"/>
          <w:right w:w="28" w:type="dxa"/>
        </w:tblCellMar>
      </w:tblPr>
      <w:tblGrid>
        <w:gridCol w:w="2931"/>
        <w:gridCol w:w="2574"/>
        <w:gridCol w:w="2580"/>
        <w:gridCol w:w="158"/>
        <w:gridCol w:w="158"/>
        <w:gridCol w:w="225"/>
      </w:tblGrid>
      <w:tr>
        <w:trPr/>
        <w:tc>
          <w:tcPr>
            <w:tcW w:w="293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8f3dc900c5c44ed81fd38c324d3c2ca_19">
              <w:r>
                <w:rPr>
                  <w:rStyle w:val="InternetLink"/>
                  <w:rFonts w:ascii="Times New Roman;sans-serif" w:hAnsi="Times New Roman;sans-serif"/>
                  <w:b w:val="false"/>
                  <w:color w:val="0000FF"/>
                  <w:sz w:val="20"/>
                  <w:u w:val="single"/>
                </w:rPr>
                <w:t>Unaudited Condensed Consolidated Statements of Financial Condition –</w:t>
              </w:r>
            </w:hyperlink>
          </w:p>
          <w:p>
            <w:pPr>
              <w:pStyle w:val="TableContents"/>
              <w:bidi w:val="0"/>
              <w:spacing w:lineRule="auto" w:line="240" w:before="0" w:after="0"/>
              <w:ind w:left="0" w:right="0" w:hanging="90"/>
              <w:jc w:val="left"/>
              <w:rPr/>
            </w:pPr>
            <w:r>
              <w:rPr>
                <w:color w:val="0000FF"/>
                <w:u w:val="single"/>
              </w:rPr>
              <w:t> </w:t>
            </w:r>
            <w:hyperlink w:anchor="if8f3dc900c5c44ed81fd38c324d3c2ca_19">
              <w:r>
                <w:rPr>
                  <w:rStyle w:val="InternetLink"/>
                  <w:rFonts w:ascii="Times New Roman;sans-serif" w:hAnsi="Times New Roman;sans-serif"/>
                  <w:b w:val="false"/>
                  <w:color w:val="0000FF"/>
                  <w:sz w:val="20"/>
                  <w:u w:val="single"/>
                </w:rPr>
                <w:t>March 31, 2025 and December 31,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9">
              <w:r>
                <w:rPr>
                  <w:rStyle w:val="InternetLink"/>
                  <w:rFonts w:ascii="Times New Roman;sans-serif" w:hAnsi="Times New Roman;sans-serif"/>
                  <w:b w:val="false"/>
                  <w:color w:val="0000FF"/>
                  <w:sz w:val="20"/>
                  <w:u w:val="singl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8f3dc900c5c44ed81fd38c324d3c2ca_22">
              <w:r>
                <w:rPr>
                  <w:rStyle w:val="InternetLink"/>
                  <w:rFonts w:ascii="Times New Roman;sans-serif" w:hAnsi="Times New Roman;sans-serif"/>
                  <w:b w:val="false"/>
                  <w:color w:val="0000FF"/>
                  <w:sz w:val="20"/>
                  <w:u w:val="single"/>
                </w:rPr>
                <w:t>Unaudited Condensed Consolidated Statements of Operations –</w:t>
              </w:r>
            </w:hyperlink>
          </w:p>
          <w:p>
            <w:pPr>
              <w:pStyle w:val="TableContents"/>
              <w:bidi w:val="0"/>
              <w:spacing w:lineRule="auto" w:line="240" w:before="0" w:after="0"/>
              <w:ind w:left="0" w:right="0" w:hanging="90"/>
              <w:jc w:val="left"/>
              <w:rPr/>
            </w:pPr>
            <w:hyperlink w:anchor="if8f3dc900c5c44ed81fd38c324d3c2ca_22">
              <w:r>
                <w:rPr>
                  <w:rStyle w:val="InternetLink"/>
                  <w:color w:val="0000FF"/>
                  <w:u w:val="single"/>
                </w:rPr>
                <w:t> </w:t>
              </w:r>
            </w:hyperlink>
            <w:hyperlink w:anchor="if8f3dc900c5c44ed81fd38c324d3c2ca_22">
              <w:r>
                <w:rPr>
                  <w:rStyle w:val="InternetLink"/>
                  <w:rFonts w:ascii="Times New Roman;sans-serif" w:hAnsi="Times New Roman;sans-serif"/>
                  <w:b w:val="false"/>
                  <w:color w:val="0000FF"/>
                  <w:sz w:val="20"/>
                  <w:u w:val="single"/>
                </w:rPr>
                <w:t>Three Months ended March 31,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22">
              <w:r>
                <w:rPr>
                  <w:rStyle w:val="InternetLink"/>
                  <w:rFonts w:ascii="Times New Roman;sans-serif" w:hAnsi="Times New Roman;sans-serif"/>
                  <w:b w:val="false"/>
                  <w:color w:val="0000FF"/>
                  <w:sz w:val="20"/>
                  <w:u w:val="singl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8f3dc900c5c44ed81fd38c324d3c2ca_25">
              <w:r>
                <w:rPr>
                  <w:rStyle w:val="InternetLink"/>
                  <w:rFonts w:ascii="Times New Roman;sans-serif" w:hAnsi="Times New Roman;sans-serif"/>
                  <w:b w:val="false"/>
                  <w:color w:val="0000FF"/>
                  <w:sz w:val="20"/>
                  <w:u w:val="single"/>
                </w:rPr>
                <w:t>Unaudited Condensed Consolidated Statements of Comprehensive Income –</w:t>
              </w:r>
            </w:hyperlink>
          </w:p>
          <w:p>
            <w:pPr>
              <w:pStyle w:val="TableContents"/>
              <w:bidi w:val="0"/>
              <w:spacing w:lineRule="auto" w:line="240" w:before="0" w:after="0"/>
              <w:ind w:left="0" w:right="0" w:hanging="90"/>
              <w:jc w:val="left"/>
              <w:rPr/>
            </w:pPr>
            <w:hyperlink w:anchor="if8f3dc900c5c44ed81fd38c324d3c2ca_25">
              <w:r>
                <w:rPr>
                  <w:rStyle w:val="InternetLink"/>
                  <w:color w:val="0000FF"/>
                  <w:u w:val="single"/>
                </w:rPr>
                <w:t> </w:t>
              </w:r>
            </w:hyperlink>
            <w:hyperlink w:anchor="if8f3dc900c5c44ed81fd38c324d3c2ca_25">
              <w:r>
                <w:rPr>
                  <w:rStyle w:val="InternetLink"/>
                  <w:rFonts w:ascii="Times New Roman;sans-serif" w:hAnsi="Times New Roman;sans-serif"/>
                  <w:b w:val="false"/>
                  <w:color w:val="0000FF"/>
                  <w:sz w:val="20"/>
                  <w:u w:val="single"/>
                </w:rPr>
                <w:t>Three Months ended March 31,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25">
              <w:r>
                <w:rPr>
                  <w:rStyle w:val="InternetLink"/>
                  <w:rFonts w:ascii="Times New Roman;sans-serif" w:hAnsi="Times New Roman;sans-serif"/>
                  <w:b w:val="false"/>
                  <w:color w:val="0000FF"/>
                  <w:sz w:val="20"/>
                  <w:u w:val="singl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8f3dc900c5c44ed81fd38c324d3c2ca_28">
              <w:r>
                <w:rPr>
                  <w:rStyle w:val="InternetLink"/>
                  <w:rFonts w:ascii="Times New Roman;sans-serif" w:hAnsi="Times New Roman;sans-serif"/>
                  <w:b w:val="false"/>
                  <w:color w:val="0000FF"/>
                  <w:sz w:val="20"/>
                  <w:u w:val="single"/>
                </w:rPr>
                <w:t>Unaudited Condensed Consolidated Statements of Changes in Stockholders’ Equity –</w:t>
              </w:r>
            </w:hyperlink>
          </w:p>
          <w:p>
            <w:pPr>
              <w:pStyle w:val="TableContents"/>
              <w:bidi w:val="0"/>
              <w:spacing w:lineRule="auto" w:line="240" w:before="0" w:after="0"/>
              <w:ind w:left="0" w:right="0" w:hanging="90"/>
              <w:jc w:val="left"/>
              <w:rPr/>
            </w:pPr>
            <w:hyperlink w:anchor="if8f3dc900c5c44ed81fd38c324d3c2ca_28">
              <w:r>
                <w:rPr>
                  <w:rStyle w:val="InternetLink"/>
                  <w:color w:val="0000FF"/>
                  <w:u w:val="single"/>
                </w:rPr>
                <w:t> </w:t>
              </w:r>
            </w:hyperlink>
            <w:hyperlink w:anchor="if8f3dc900c5c44ed81fd38c324d3c2ca_28">
              <w:r>
                <w:rPr>
                  <w:rStyle w:val="InternetLink"/>
                  <w:rFonts w:ascii="Times New Roman;sans-serif" w:hAnsi="Times New Roman;sans-serif"/>
                  <w:b w:val="false"/>
                  <w:color w:val="0000FF"/>
                  <w:sz w:val="20"/>
                  <w:u w:val="single"/>
                </w:rPr>
                <w:t>Three</w:t>
              </w:r>
            </w:hyperlink>
            <w:hyperlink w:anchor="if8f3dc900c5c44ed81fd38c324d3c2ca_28">
              <w:r>
                <w:rPr>
                  <w:rStyle w:val="InternetLink"/>
                  <w:rFonts w:ascii="Times New Roman;sans-serif" w:hAnsi="Times New Roman;sans-serif"/>
                  <w:b w:val="false"/>
                  <w:color w:val="000080"/>
                  <w:sz w:val="20"/>
                  <w:u w:val="single"/>
                </w:rPr>
                <w:t xml:space="preserve"> Months ended </w:t>
              </w:r>
            </w:hyperlink>
            <w:hyperlink w:anchor="if8f3dc900c5c44ed81fd38c324d3c2ca_28">
              <w:r>
                <w:rPr>
                  <w:rStyle w:val="InternetLink"/>
                  <w:rFonts w:ascii="Times New Roman;sans-serif" w:hAnsi="Times New Roman;sans-serif"/>
                  <w:b w:val="false"/>
                  <w:color w:val="000080"/>
                  <w:sz w:val="20"/>
                  <w:u w:val="single"/>
                </w:rPr>
                <w:t>March 31</w:t>
              </w:r>
            </w:hyperlink>
            <w:hyperlink w:anchor="if8f3dc900c5c44ed81fd38c324d3c2ca_28">
              <w:r>
                <w:rPr>
                  <w:rStyle w:val="InternetLink"/>
                  <w:rFonts w:ascii="Times New Roman;sans-serif" w:hAnsi="Times New Roman;sans-serif"/>
                  <w:b w:val="false"/>
                  <w:color w:val="000080"/>
                  <w:sz w:val="20"/>
                  <w:u w:val="single"/>
                </w:rPr>
                <w:t>, 202</w:t>
              </w:r>
            </w:hyperlink>
            <w:hyperlink w:anchor="if8f3dc900c5c44ed81fd38c324d3c2ca_28">
              <w:r>
                <w:rPr>
                  <w:rStyle w:val="InternetLink"/>
                  <w:rFonts w:ascii="Times New Roman;sans-serif" w:hAnsi="Times New Roman;sans-serif"/>
                  <w:b w:val="false"/>
                  <w:color w:val="000080"/>
                  <w:sz w:val="20"/>
                  <w:u w:val="single"/>
                </w:rPr>
                <w:t>5</w:t>
              </w:r>
            </w:hyperlink>
            <w:hyperlink w:anchor="if8f3dc900c5c44ed81fd38c324d3c2ca_28">
              <w:r>
                <w:rPr>
                  <w:rStyle w:val="InternetLink"/>
                  <w:rFonts w:ascii="Times New Roman;sans-serif" w:hAnsi="Times New Roman;sans-serif"/>
                  <w:b w:val="false"/>
                  <w:color w:val="000080"/>
                  <w:sz w:val="20"/>
                  <w:u w:val="single"/>
                </w:rPr>
                <w:t xml:space="preserve"> and 202</w:t>
              </w:r>
            </w:hyperlink>
            <w:hyperlink w:anchor="if8f3dc900c5c44ed81fd38c324d3c2ca_28">
              <w:r>
                <w:rPr>
                  <w:rStyle w:val="InternetLink"/>
                  <w:rFonts w:ascii="Times New Roman;sans-serif" w:hAnsi="Times New Roman;sans-serif"/>
                  <w:b w:val="false"/>
                  <w:color w:val="000080"/>
                  <w:sz w:val="20"/>
                  <w:u w:val="single"/>
                </w:rPr>
                <w:t>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28">
              <w:r>
                <w:rPr>
                  <w:rStyle w:val="InternetLink"/>
                  <w:rFonts w:ascii="Times New Roman;sans-serif" w:hAnsi="Times New Roman;sans-serif"/>
                  <w:b w:val="false"/>
                  <w:color w:val="0000FF"/>
                  <w:sz w:val="20"/>
                  <w:u w:val="single"/>
                </w:rPr>
                <w:t>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f8f3dc900c5c44ed81fd38c324d3c2ca_31">
              <w:r>
                <w:rPr>
                  <w:rStyle w:val="InternetLink"/>
                  <w:rFonts w:ascii="Times New Roman;sans-serif" w:hAnsi="Times New Roman;sans-serif"/>
                  <w:b w:val="false"/>
                  <w:color w:val="0000FF"/>
                  <w:sz w:val="20"/>
                  <w:u w:val="single"/>
                </w:rPr>
                <w:t>Unaudited Condensed Consolidated Statements of Cash Flows –</w:t>
              </w:r>
            </w:hyperlink>
          </w:p>
          <w:p>
            <w:pPr>
              <w:pStyle w:val="TableContents"/>
              <w:bidi w:val="0"/>
              <w:spacing w:lineRule="auto" w:line="240" w:before="0" w:after="0"/>
              <w:ind w:left="0" w:right="0" w:hanging="90"/>
              <w:jc w:val="left"/>
              <w:rPr/>
            </w:pPr>
            <w:hyperlink w:anchor="if8f3dc900c5c44ed81fd38c324d3c2ca_31">
              <w:r>
                <w:rPr>
                  <w:rStyle w:val="InternetLink"/>
                  <w:rFonts w:ascii="Times New Roman;sans-serif" w:hAnsi="Times New Roman;sans-serif"/>
                  <w:b w:val="false"/>
                  <w:color w:val="0000FF"/>
                  <w:sz w:val="20"/>
                  <w:u w:val="single"/>
                </w:rPr>
                <w:t>Three Months ended March 31,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31">
              <w:r>
                <w:rPr>
                  <w:rStyle w:val="InternetLink"/>
                  <w:rFonts w:ascii="Times New Roman;sans-serif" w:hAnsi="Times New Roman;sans-serif"/>
                  <w:b w:val="false"/>
                  <w:color w:val="0000FF"/>
                  <w:sz w:val="20"/>
                  <w:u w:val="single"/>
                </w:rPr>
                <w:t>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34">
              <w:r>
                <w:rPr>
                  <w:rStyle w:val="InternetLink"/>
                  <w:rFonts w:ascii="Times New Roman;sans-serif" w:hAnsi="Times New Roman;sans-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34">
              <w:r>
                <w:rPr>
                  <w:rStyle w:val="InternetLink"/>
                  <w:rFonts w:ascii="Times New Roman;sans-serif" w:hAnsi="Times New Roman;sans-serif"/>
                  <w:b w:val="false"/>
                  <w:color w:val="0000FF"/>
                  <w:sz w:val="20"/>
                  <w:u w:val="single"/>
                </w:rPr>
                <w:t>10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8f3dc900c5c44ed81fd38c324d3c2ca_82">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82">
              <w:r>
                <w:rPr>
                  <w:rStyle w:val="InternetLink"/>
                  <w:rFonts w:ascii="Times New Roman;sans-serif" w:hAnsi="Times New Roman;sans-serif"/>
                  <w:b w:val="false"/>
                  <w:color w:val="0000FF"/>
                  <w:sz w:val="20"/>
                  <w:u w:val="single"/>
                </w:rPr>
                <w:t>48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42">
              <w:r>
                <w:rPr>
                  <w:rStyle w:val="InternetLink"/>
                  <w:rFonts w:ascii="Times New Roman;sans-serif" w:hAnsi="Times New Roman;sans-serif"/>
                  <w:b w:val="false"/>
                  <w:color w:val="0000FF"/>
                  <w:sz w:val="20"/>
                  <w:u w:val="single"/>
                </w:rPr>
                <w:t>Item 3 – Quantitative and Qualitative Disclosure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42">
              <w:r>
                <w:rPr>
                  <w:rStyle w:val="InternetLink"/>
                  <w:rFonts w:ascii="Times New Roman;sans-serif" w:hAnsi="Times New Roman;sans-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45">
              <w:r>
                <w:rPr>
                  <w:rStyle w:val="InternetLink"/>
                  <w:rFonts w:ascii="Times New Roman;sans-serif" w:hAnsi="Times New Roman;sans-serif"/>
                  <w:b w:val="false"/>
                  <w:color w:val="0000FF"/>
                  <w:sz w:val="20"/>
                  <w:u w:val="single"/>
                </w:rPr>
                <w:t>Item 4 –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45">
              <w:r>
                <w:rPr>
                  <w:rStyle w:val="InternetLink"/>
                  <w:rFonts w:ascii="Times New Roman;sans-serif" w:hAnsi="Times New Roman;sans-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48">
              <w:r>
                <w:rPr>
                  <w:rStyle w:val="InternetLink"/>
                  <w:rFonts w:ascii="Times New Roman;sans-serif" w:hAnsi="Times New Roman;sans-serif"/>
                  <w:b/>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48">
              <w:r>
                <w:rPr>
                  <w:rStyle w:val="InternetLink"/>
                  <w:rFonts w:ascii="Times New Roman;sans-serif" w:hAnsi="Times New Roman;sans-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51">
              <w:r>
                <w:rPr>
                  <w:rStyle w:val="InternetLink"/>
                  <w:rFonts w:ascii="Times New Roman;sans-serif" w:hAnsi="Times New Roman;sans-serif"/>
                  <w:b w:val="false"/>
                  <w:color w:val="0000FF"/>
                  <w:sz w:val="20"/>
                  <w:u w:val="single"/>
                </w:rPr>
                <w:t>Item 1 –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51">
              <w:r>
                <w:rPr>
                  <w:rStyle w:val="InternetLink"/>
                  <w:rFonts w:ascii="Times New Roman;sans-serif" w:hAnsi="Times New Roman;sans-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54">
              <w:r>
                <w:rPr>
                  <w:rStyle w:val="InternetLink"/>
                  <w:rFonts w:ascii="Times New Roman;sans-serif" w:hAnsi="Times New Roman;sans-serif"/>
                  <w:b w:val="false"/>
                  <w:color w:val="0000FF"/>
                  <w:sz w:val="20"/>
                  <w:u w:val="single"/>
                </w:rPr>
                <w:t>Item 1A –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54">
              <w:r>
                <w:rPr>
                  <w:rStyle w:val="InternetLink"/>
                  <w:rFonts w:ascii="Times New Roman;sans-serif" w:hAnsi="Times New Roman;sans-serif"/>
                  <w:b w:val="false"/>
                  <w:color w:val="0000FF"/>
                  <w:sz w:val="20"/>
                  <w:u w:val="single"/>
                </w:rPr>
                <w:t>77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57">
              <w:r>
                <w:rPr>
                  <w:rStyle w:val="InternetLink"/>
                  <w:rFonts w:ascii="Times New Roman;sans-serif" w:hAnsi="Times New Roman;sans-serif"/>
                  <w:b w:val="false"/>
                  <w:color w:val="0000FF"/>
                  <w:sz w:val="20"/>
                  <w:u w:val="single"/>
                </w:rPr>
                <w:t>Item 2 –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57">
              <w:r>
                <w:rPr>
                  <w:rStyle w:val="InternetLink"/>
                  <w:rFonts w:ascii="Times New Roman;sans-serif" w:hAnsi="Times New Roman;sans-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60">
              <w:r>
                <w:rPr>
                  <w:rStyle w:val="InternetLink"/>
                  <w:rFonts w:ascii="Times New Roman;sans-serif" w:hAnsi="Times New Roman;sans-serif"/>
                  <w:b w:val="false"/>
                  <w:color w:val="0000FF"/>
                  <w:sz w:val="20"/>
                  <w:u w:val="single"/>
                </w:rPr>
                <w:t>Item 3 –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60">
              <w:r>
                <w:rPr>
                  <w:rStyle w:val="InternetLink"/>
                  <w:rFonts w:ascii="Times New Roman;sans-serif" w:hAnsi="Times New Roman;sans-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63">
              <w:r>
                <w:rPr>
                  <w:rStyle w:val="InternetLink"/>
                  <w:rFonts w:ascii="Times New Roman;sans-serif" w:hAnsi="Times New Roman;sans-serif"/>
                  <w:b w:val="false"/>
                  <w:color w:val="0000FF"/>
                  <w:sz w:val="20"/>
                  <w:u w:val="single"/>
                </w:rPr>
                <w:t>Item 4 –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63">
              <w:r>
                <w:rPr>
                  <w:rStyle w:val="InternetLink"/>
                  <w:rFonts w:ascii="Times New Roman;sans-serif" w:hAnsi="Times New Roman;sans-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66">
              <w:r>
                <w:rPr>
                  <w:rStyle w:val="InternetLink"/>
                  <w:rFonts w:ascii="Times New Roman;sans-serif" w:hAnsi="Times New Roman;sans-serif"/>
                  <w:b w:val="false"/>
                  <w:color w:val="0000FF"/>
                  <w:sz w:val="20"/>
                  <w:u w:val="single"/>
                </w:rPr>
                <w:t>Item 5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66">
              <w:r>
                <w:rPr>
                  <w:rStyle w:val="InternetLink"/>
                  <w:rFonts w:ascii="Times New Roman;sans-serif" w:hAnsi="Times New Roman;sans-serif"/>
                  <w:b w:val="false"/>
                  <w:color w:val="0000FF"/>
                  <w:sz w:val="20"/>
                  <w:u w:val="single"/>
                </w:rPr>
                <w:t>78</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69">
              <w:r>
                <w:rPr>
                  <w:rStyle w:val="InternetLink"/>
                  <w:rFonts w:ascii="Times New Roman;sans-serif" w:hAnsi="Times New Roman;sans-serif"/>
                  <w:b w:val="false"/>
                  <w:color w:val="0000FF"/>
                  <w:sz w:val="20"/>
                  <w:u w:val="single"/>
                </w:rPr>
                <w:t>Item 6 –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69">
              <w:r>
                <w:rPr>
                  <w:rStyle w:val="InternetLink"/>
                  <w:rFonts w:ascii="Times New Roman;sans-serif" w:hAnsi="Times New Roman;sans-serif"/>
                  <w:b w:val="false"/>
                  <w:color w:val="0000FF"/>
                  <w:sz w:val="20"/>
                  <w:u w:val="single"/>
                </w:rPr>
                <w:t>79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8f3dc900c5c44ed81fd38c324d3c2ca_172">
              <w:r>
                <w:rPr>
                  <w:rStyle w:val="InternetLink"/>
                  <w:rFonts w:ascii="Times New Roman;sans-serif" w:hAnsi="Times New Roman;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3dc900c5c44ed81fd38c324d3c2ca_172">
              <w:r>
                <w:rPr>
                  <w:rStyle w:val="InternetLink"/>
                  <w:rFonts w:ascii="Times New Roman;sans-serif" w:hAnsi="Times New Roman;sans-serif"/>
                  <w:b w:val="false"/>
                  <w:color w:val="0000FF"/>
                  <w:sz w:val="20"/>
                  <w:u w:val="single"/>
                </w:rPr>
                <w:t>80</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ABBREVIATIONS/ACRONYMS</w:t>
      </w:r>
    </w:p>
    <w:tbl>
      <w:tblPr>
        <w:tblW w:w="6479" w:type="dxa"/>
        <w:jc w:val="center"/>
        <w:tblInd w:w="0" w:type="dxa"/>
        <w:tblLayout w:type="fixed"/>
        <w:tblCellMar>
          <w:top w:w="28" w:type="dxa"/>
          <w:left w:w="28" w:type="dxa"/>
          <w:bottom w:w="28" w:type="dxa"/>
          <w:right w:w="28" w:type="dxa"/>
        </w:tblCellMar>
      </w:tblPr>
      <w:tblGrid>
        <w:gridCol w:w="2072"/>
        <w:gridCol w:w="1818"/>
        <w:gridCol w:w="2589"/>
      </w:tblGrid>
      <w:tr>
        <w:trPr/>
        <w:tc>
          <w:tcPr>
            <w:tcW w:w="207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ACL or allowance</w:t>
            </w:r>
            <w:r>
              <w:rPr>
                <w:color w:val="000000"/>
              </w:rPr>
              <w:t xml:space="preserve"> – </w:t>
            </w:r>
            <w:r>
              <w:rPr>
                <w:rFonts w:ascii="Times New Roman;sans-serif" w:hAnsi="Times New Roman;sans-serif"/>
                <w:b w:val="false"/>
                <w:color w:val="000000"/>
                <w:sz w:val="18"/>
              </w:rPr>
              <w:t>allowance for credit losses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AFS - </w:t>
            </w:r>
            <w:r>
              <w:rPr>
                <w:rFonts w:ascii="Times New Roman;sans-serif" w:hAnsi="Times New Roman;sans-serif"/>
                <w:b w:val="false"/>
                <w:color w:val="000000"/>
                <w:sz w:val="18"/>
              </w:rPr>
              <w:t>available-for-sale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ALCO</w:t>
            </w:r>
            <w:r>
              <w:rPr>
                <w:color w:val="000000"/>
              </w:rPr>
              <w:t xml:space="preserve"> – </w:t>
            </w:r>
            <w:r>
              <w:rPr>
                <w:rFonts w:ascii="Times New Roman;sans-serif" w:hAnsi="Times New Roman;sans-serif"/>
                <w:b w:val="false"/>
                <w:color w:val="000000"/>
                <w:sz w:val="18"/>
              </w:rPr>
              <w:t>Asset Liability Committee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ASC</w:t>
            </w:r>
            <w:r>
              <w:rPr>
                <w:color w:val="000000"/>
              </w:rPr>
              <w:t xml:space="preserve"> – </w:t>
            </w:r>
            <w:r>
              <w:rPr>
                <w:rFonts w:ascii="Times New Roman;sans-serif" w:hAnsi="Times New Roman;sans-serif"/>
                <w:b w:val="false"/>
                <w:color w:val="000000"/>
                <w:sz w:val="18"/>
              </w:rPr>
              <w:t>Accounting Standards Codification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ASU</w:t>
            </w:r>
            <w:r>
              <w:rPr>
                <w:color w:val="000000"/>
              </w:rPr>
              <w:t xml:space="preserve"> – </w:t>
            </w:r>
            <w:r>
              <w:rPr>
                <w:rFonts w:ascii="Times New Roman;sans-serif" w:hAnsi="Times New Roman;sans-serif"/>
                <w:b w:val="false"/>
                <w:color w:val="000000"/>
                <w:sz w:val="18"/>
              </w:rPr>
              <w:t>Accounting Standards Update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ATM</w:t>
            </w:r>
            <w:r>
              <w:rPr>
                <w:color w:val="000000"/>
              </w:rPr>
              <w:t xml:space="preserve"> – </w:t>
            </w:r>
            <w:r>
              <w:rPr>
                <w:rFonts w:ascii="Times New Roman;sans-serif" w:hAnsi="Times New Roman;sans-serif"/>
                <w:b w:val="false"/>
                <w:color w:val="000000"/>
                <w:sz w:val="18"/>
              </w:rPr>
              <w:t>automated teller machine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Bank</w:t>
            </w:r>
            <w:r>
              <w:rPr>
                <w:color w:val="000000"/>
              </w:rPr>
              <w:t xml:space="preserve"> – </w:t>
            </w:r>
            <w:r>
              <w:rPr>
                <w:rFonts w:ascii="Times New Roman;sans-serif" w:hAnsi="Times New Roman;sans-serif"/>
                <w:b w:val="false"/>
                <w:color w:val="000000"/>
                <w:sz w:val="18"/>
              </w:rPr>
              <w:t>Glacier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BOI - </w:t>
            </w:r>
            <w:r>
              <w:rPr>
                <w:rFonts w:ascii="Times New Roman;sans-serif" w:hAnsi="Times New Roman;sans-serif"/>
                <w:b w:val="false"/>
                <w:color w:val="000000"/>
                <w:sz w:val="18"/>
              </w:rPr>
              <w:t>Bank of Idaho</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BOID - </w:t>
            </w:r>
            <w:r>
              <w:rPr>
                <w:rFonts w:ascii="Times New Roman;sans-serif" w:hAnsi="Times New Roman;sans-serif"/>
                <w:b w:val="false"/>
                <w:color w:val="000000"/>
                <w:sz w:val="18"/>
              </w:rPr>
              <w:t>Bank of Idaho Holding Co.</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BTFP - </w:t>
            </w:r>
            <w:r>
              <w:rPr>
                <w:rFonts w:ascii="Times New Roman;sans-serif" w:hAnsi="Times New Roman;sans-serif"/>
                <w:b w:val="false"/>
                <w:color w:val="000000"/>
                <w:sz w:val="18"/>
              </w:rPr>
              <w:t>Bank Term Funding Program of the Federal Reserve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CDE</w:t>
            </w:r>
            <w:r>
              <w:rPr>
                <w:color w:val="000000"/>
              </w:rPr>
              <w:t xml:space="preserve"> – </w:t>
            </w:r>
            <w:r>
              <w:rPr>
                <w:rFonts w:ascii="Times New Roman;sans-serif" w:hAnsi="Times New Roman;sans-serif"/>
                <w:b w:val="false"/>
                <w:color w:val="000000"/>
                <w:sz w:val="18"/>
              </w:rPr>
              <w:t>Certified Development Entity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CDFI Fund</w:t>
            </w:r>
            <w:r>
              <w:rPr>
                <w:color w:val="000000"/>
              </w:rPr>
              <w:t xml:space="preserve"> – </w:t>
            </w:r>
            <w:r>
              <w:rPr>
                <w:rFonts w:ascii="Times New Roman;sans-serif" w:hAnsi="Times New Roman;sans-serif"/>
                <w:b w:val="false"/>
                <w:color w:val="000000"/>
                <w:sz w:val="18"/>
              </w:rPr>
              <w:t>Community Development Financial Institutions Fund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CECL</w:t>
            </w:r>
            <w:r>
              <w:rPr>
                <w:color w:val="000000"/>
              </w:rPr>
              <w:t xml:space="preserve"> – </w:t>
            </w:r>
            <w:r>
              <w:rPr>
                <w:rFonts w:ascii="Times New Roman;sans-serif" w:hAnsi="Times New Roman;sans-serif"/>
                <w:b w:val="false"/>
                <w:color w:val="000000"/>
                <w:sz w:val="18"/>
              </w:rPr>
              <w:t>current expected credit losses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CEO</w:t>
            </w:r>
            <w:r>
              <w:rPr>
                <w:color w:val="000000"/>
              </w:rPr>
              <w:t xml:space="preserve"> – </w:t>
            </w:r>
            <w:r>
              <w:rPr>
                <w:rFonts w:ascii="Times New Roman;sans-serif" w:hAnsi="Times New Roman;sans-serif"/>
                <w:b w:val="false"/>
                <w:color w:val="000000"/>
                <w:sz w:val="18"/>
              </w:rPr>
              <w:t>Chief Executive Officer</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CFO</w:t>
            </w:r>
            <w:r>
              <w:rPr>
                <w:color w:val="000000"/>
              </w:rPr>
              <w:t xml:space="preserve"> – </w:t>
            </w:r>
            <w:r>
              <w:rPr>
                <w:rFonts w:ascii="Times New Roman;sans-serif" w:hAnsi="Times New Roman;sans-serif"/>
                <w:b w:val="false"/>
                <w:color w:val="000000"/>
                <w:sz w:val="18"/>
              </w:rPr>
              <w:t>Chief Financial Officer</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CFGW</w:t>
            </w:r>
            <w:r>
              <w:rPr>
                <w:color w:val="000000"/>
              </w:rPr>
              <w:t xml:space="preserve"> – </w:t>
            </w:r>
            <w:r>
              <w:rPr>
                <w:rFonts w:ascii="Times New Roman;sans-serif" w:hAnsi="Times New Roman;sans-serif"/>
                <w:b w:val="false"/>
                <w:color w:val="000000"/>
                <w:sz w:val="18"/>
              </w:rPr>
              <w:t>Community Financial Group, Inc.</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CRE </w:t>
            </w:r>
            <w:r>
              <w:rPr>
                <w:rFonts w:ascii="Times New Roman;sans-serif" w:hAnsi="Times New Roman;sans-serif"/>
                <w:b w:val="false"/>
                <w:color w:val="000000"/>
                <w:sz w:val="18"/>
              </w:rPr>
              <w:t>- Commercial real estate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Company</w:t>
            </w:r>
            <w:r>
              <w:rPr>
                <w:color w:val="000000"/>
              </w:rPr>
              <w:t xml:space="preserve"> – </w:t>
            </w:r>
            <w:r>
              <w:rPr>
                <w:rFonts w:ascii="Times New Roman;sans-serif" w:hAnsi="Times New Roman;sans-serif"/>
                <w:b w:val="false"/>
                <w:color w:val="000000"/>
                <w:sz w:val="18"/>
              </w:rPr>
              <w:t>Glacier Bancorp, Inc.</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DDA</w:t>
            </w:r>
            <w:r>
              <w:rPr>
                <w:color w:val="000000"/>
              </w:rPr>
              <w:t xml:space="preserve"> – </w:t>
            </w:r>
            <w:r>
              <w:rPr>
                <w:rFonts w:ascii="Times New Roman;sans-serif" w:hAnsi="Times New Roman;sans-serif"/>
                <w:b w:val="false"/>
                <w:color w:val="000000"/>
                <w:sz w:val="18"/>
              </w:rPr>
              <w:t>demand deposit account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Fannie Mae</w:t>
            </w:r>
            <w:r>
              <w:rPr>
                <w:color w:val="000000"/>
              </w:rPr>
              <w:t xml:space="preserve"> – </w:t>
            </w:r>
            <w:r>
              <w:rPr>
                <w:rFonts w:ascii="Times New Roman;sans-serif" w:hAnsi="Times New Roman;sans-serif"/>
                <w:b w:val="false"/>
                <w:color w:val="000000"/>
                <w:sz w:val="18"/>
              </w:rPr>
              <w:t>Federal National Mortgage Association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FASB</w:t>
            </w:r>
            <w:r>
              <w:rPr>
                <w:color w:val="000000"/>
              </w:rPr>
              <w:t xml:space="preserve"> – </w:t>
            </w:r>
            <w:r>
              <w:rPr>
                <w:rFonts w:ascii="Times New Roman;sans-serif" w:hAnsi="Times New Roman;sans-serif"/>
                <w:b w:val="false"/>
                <w:color w:val="000000"/>
                <w:sz w:val="18"/>
              </w:rPr>
              <w:t>Financial Accounting Standards Board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FDIC</w:t>
            </w:r>
            <w:r>
              <w:rPr>
                <w:color w:val="000000"/>
              </w:rPr>
              <w:t xml:space="preserve"> – </w:t>
            </w:r>
            <w:r>
              <w:rPr>
                <w:rFonts w:ascii="Times New Roman;sans-serif" w:hAnsi="Times New Roman;sans-serif"/>
                <w:b w:val="false"/>
                <w:color w:val="000000"/>
                <w:sz w:val="18"/>
              </w:rPr>
              <w:t>Federal Deposit Insurance Corporation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FHLB</w:t>
            </w:r>
            <w:r>
              <w:rPr>
                <w:color w:val="000000"/>
              </w:rPr>
              <w:t xml:space="preserve"> – </w:t>
            </w:r>
            <w:r>
              <w:rPr>
                <w:rFonts w:ascii="Times New Roman;sans-serif" w:hAnsi="Times New Roman;sans-serif"/>
                <w:b w:val="false"/>
                <w:color w:val="000000"/>
                <w:sz w:val="18"/>
              </w:rPr>
              <w:t>Federal Home Loan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18"/>
              </w:rPr>
              <w:t>Final Rules</w:t>
            </w:r>
            <w:r>
              <w:rPr>
                <w:color w:val="000000"/>
              </w:rPr>
              <w:t xml:space="preserve"> – </w:t>
            </w:r>
            <w:r>
              <w:rPr>
                <w:rFonts w:ascii="Times New Roman;sans-serif" w:hAnsi="Times New Roman;sans-serif"/>
                <w:b w:val="false"/>
                <w:color w:val="000000"/>
                <w:sz w:val="18"/>
              </w:rPr>
              <w:t xml:space="preserve">final rules implemented by the federal banking agencies that established a </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18"/>
              </w:rPr>
              <w:t>new comprehensive regulatory capital framework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FRB</w:t>
            </w:r>
            <w:r>
              <w:rPr>
                <w:color w:val="000000"/>
              </w:rPr>
              <w:t xml:space="preserve"> – </w:t>
            </w:r>
            <w:r>
              <w:rPr>
                <w:rFonts w:ascii="Times New Roman;sans-serif" w:hAnsi="Times New Roman;sans-serif"/>
                <w:b w:val="false"/>
                <w:color w:val="000000"/>
                <w:sz w:val="18"/>
              </w:rPr>
              <w:t>Federal Reserve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Freddie Mac</w:t>
            </w:r>
            <w:r>
              <w:rPr>
                <w:color w:val="000000"/>
              </w:rPr>
              <w:t xml:space="preserve"> – </w:t>
            </w:r>
            <w:r>
              <w:rPr>
                <w:rFonts w:ascii="Times New Roman;sans-serif" w:hAnsi="Times New Roman;sans-serif"/>
                <w:b w:val="false"/>
                <w:color w:val="000000"/>
                <w:sz w:val="18"/>
              </w:rPr>
              <w:t>Federal Home Loan Mortgage Corporation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GAAP</w:t>
            </w:r>
            <w:r>
              <w:rPr>
                <w:color w:val="000000"/>
              </w:rPr>
              <w:t xml:space="preserve"> – </w:t>
            </w:r>
            <w:r>
              <w:rPr>
                <w:rFonts w:ascii="Times New Roman;sans-serif" w:hAnsi="Times New Roman;sans-serif"/>
                <w:b w:val="false"/>
                <w:color w:val="000000"/>
                <w:sz w:val="18"/>
              </w:rPr>
              <w:t>accounting principles generally accepted in the United States of America</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GDP</w:t>
            </w:r>
            <w:r>
              <w:rPr>
                <w:color w:val="000000"/>
              </w:rPr>
              <w:t xml:space="preserve"> – </w:t>
            </w:r>
            <w:r>
              <w:rPr>
                <w:rFonts w:ascii="Times New Roman;sans-serif" w:hAnsi="Times New Roman;sans-serif"/>
                <w:b w:val="false"/>
                <w:color w:val="000000"/>
                <w:sz w:val="18"/>
              </w:rPr>
              <w:t>gross domestic product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Ginnie Mae</w:t>
            </w:r>
            <w:r>
              <w:rPr>
                <w:color w:val="000000"/>
              </w:rPr>
              <w:t xml:space="preserve"> – </w:t>
            </w:r>
            <w:r>
              <w:rPr>
                <w:rFonts w:ascii="Times New Roman;sans-serif" w:hAnsi="Times New Roman;sans-serif"/>
                <w:b w:val="false"/>
                <w:color w:val="000000"/>
                <w:sz w:val="18"/>
              </w:rPr>
              <w:t>Government National Mortgage Association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HTM</w:t>
            </w:r>
            <w:r>
              <w:rPr>
                <w:color w:val="000000"/>
              </w:rPr>
              <w:t xml:space="preserve"> </w:t>
            </w:r>
            <w:r>
              <w:rPr>
                <w:rFonts w:ascii="Times New Roman;sans-serif" w:hAnsi="Times New Roman;sans-serif"/>
                <w:b w:val="false"/>
                <w:color w:val="000000"/>
                <w:sz w:val="18"/>
              </w:rPr>
              <w:t>- Held-to-maturity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Interest rate locks - </w:t>
            </w:r>
            <w:r>
              <w:rPr>
                <w:rFonts w:ascii="Times New Roman;sans-serif" w:hAnsi="Times New Roman;sans-serif"/>
                <w:b w:val="false"/>
                <w:color w:val="000000"/>
                <w:sz w:val="18"/>
              </w:rPr>
              <w:t>residential real estate derivatives for commitments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LIBOR</w:t>
            </w:r>
            <w:r>
              <w:rPr>
                <w:color w:val="000000"/>
              </w:rPr>
              <w:t xml:space="preserve"> – </w:t>
            </w:r>
            <w:r>
              <w:rPr>
                <w:rFonts w:ascii="Times New Roman;sans-serif" w:hAnsi="Times New Roman;sans-serif"/>
                <w:b w:val="false"/>
                <w:color w:val="000000"/>
                <w:sz w:val="18"/>
              </w:rPr>
              <w:t>London Interbank Offered Rate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LIHTC</w:t>
            </w:r>
            <w:r>
              <w:rPr>
                <w:color w:val="000000"/>
              </w:rPr>
              <w:t xml:space="preserve"> – </w:t>
            </w:r>
            <w:r>
              <w:rPr>
                <w:rFonts w:ascii="Times New Roman;sans-serif" w:hAnsi="Times New Roman;sans-serif"/>
                <w:b w:val="false"/>
                <w:color w:val="000000"/>
                <w:sz w:val="18"/>
              </w:rPr>
              <w:t>Low Income Housing Tax Credit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MBFD</w:t>
            </w:r>
            <w:r>
              <w:rPr>
                <w:color w:val="000000"/>
              </w:rPr>
              <w:t xml:space="preserve"> </w:t>
            </w:r>
            <w:r>
              <w:rPr>
                <w:rFonts w:ascii="Times New Roman;sans-serif" w:hAnsi="Times New Roman;sans-serif"/>
                <w:b w:val="false"/>
                <w:color w:val="000000"/>
                <w:sz w:val="18"/>
              </w:rPr>
              <w:t>- Modifications to borrowers experiencing financial difficulty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NMTC</w:t>
            </w:r>
            <w:r>
              <w:rPr>
                <w:color w:val="000000"/>
              </w:rPr>
              <w:t xml:space="preserve"> – </w:t>
            </w:r>
            <w:r>
              <w:rPr>
                <w:rFonts w:ascii="Times New Roman;sans-serif" w:hAnsi="Times New Roman;sans-serif"/>
                <w:b w:val="false"/>
                <w:color w:val="000000"/>
                <w:sz w:val="18"/>
              </w:rPr>
              <w:t>New Markets Tax Credit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NOW</w:t>
            </w:r>
            <w:r>
              <w:rPr>
                <w:color w:val="000000"/>
              </w:rPr>
              <w:t xml:space="preserve"> – </w:t>
            </w:r>
            <w:r>
              <w:rPr>
                <w:rFonts w:ascii="Times New Roman;sans-serif" w:hAnsi="Times New Roman;sans-serif"/>
                <w:b w:val="false"/>
                <w:color w:val="000000"/>
                <w:sz w:val="18"/>
              </w:rPr>
              <w:t>negotiable order of withdrawal</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NRSRO</w:t>
            </w:r>
            <w:r>
              <w:rPr>
                <w:color w:val="000000"/>
              </w:rPr>
              <w:t xml:space="preserve"> – </w:t>
            </w:r>
            <w:r>
              <w:rPr>
                <w:rFonts w:ascii="Times New Roman;sans-serif" w:hAnsi="Times New Roman;sans-serif"/>
                <w:b w:val="false"/>
                <w:color w:val="000000"/>
                <w:sz w:val="18"/>
              </w:rPr>
              <w:t>Nationally Recognized Statistical Rating Organizations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OCI</w:t>
            </w:r>
            <w:r>
              <w:rPr>
                <w:color w:val="000000"/>
              </w:rPr>
              <w:t xml:space="preserve"> – </w:t>
            </w:r>
            <w:r>
              <w:rPr>
                <w:rFonts w:ascii="Times New Roman;sans-serif" w:hAnsi="Times New Roman;sans-serif"/>
                <w:b w:val="false"/>
                <w:color w:val="000000"/>
                <w:sz w:val="18"/>
              </w:rPr>
              <w:t>other comprehensive income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OREO</w:t>
            </w:r>
            <w:r>
              <w:rPr>
                <w:color w:val="000000"/>
              </w:rPr>
              <w:t xml:space="preserve"> – </w:t>
            </w:r>
            <w:r>
              <w:rPr>
                <w:rFonts w:ascii="Times New Roman;sans-serif" w:hAnsi="Times New Roman;sans-serif"/>
                <w:b w:val="false"/>
                <w:color w:val="000000"/>
                <w:sz w:val="18"/>
              </w:rPr>
              <w:t>other real estate owned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PCD</w:t>
            </w:r>
            <w:r>
              <w:rPr>
                <w:color w:val="000000"/>
              </w:rPr>
              <w:t xml:space="preserve"> – </w:t>
            </w:r>
            <w:r>
              <w:rPr>
                <w:rFonts w:ascii="Times New Roman;sans-serif" w:hAnsi="Times New Roman;sans-serif"/>
                <w:b w:val="false"/>
                <w:color w:val="000000"/>
                <w:sz w:val="18"/>
              </w:rPr>
              <w:t>purchased credit-deteriorated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PPP</w:t>
            </w:r>
            <w:r>
              <w:rPr>
                <w:color w:val="000000"/>
              </w:rPr>
              <w:t xml:space="preserve"> – </w:t>
            </w:r>
            <w:r>
              <w:rPr>
                <w:rFonts w:ascii="Times New Roman;sans-serif" w:hAnsi="Times New Roman;sans-serif"/>
                <w:b w:val="false"/>
                <w:color w:val="000000"/>
                <w:sz w:val="18"/>
              </w:rPr>
              <w:t>Paycheck Protection Program</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Repurchase agreements</w:t>
            </w:r>
            <w:r>
              <w:rPr>
                <w:color w:val="000000"/>
              </w:rPr>
              <w:t xml:space="preserve"> – </w:t>
            </w:r>
            <w:r>
              <w:rPr>
                <w:rFonts w:ascii="Times New Roman;sans-serif" w:hAnsi="Times New Roman;sans-serif"/>
                <w:b w:val="false"/>
                <w:color w:val="000000"/>
                <w:sz w:val="18"/>
              </w:rPr>
              <w:t>securities sold under agreements to repurchase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RMB</w:t>
            </w:r>
            <w:r>
              <w:rPr>
                <w:color w:val="000000"/>
              </w:rPr>
              <w:t xml:space="preserve"> – </w:t>
            </w:r>
            <w:r>
              <w:rPr>
                <w:rFonts w:ascii="Times New Roman;sans-serif" w:hAnsi="Times New Roman;sans-serif"/>
                <w:b w:val="false"/>
                <w:color w:val="000000"/>
                <w:sz w:val="18"/>
              </w:rPr>
              <w:t>Rocky Mountain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ROU</w:t>
            </w:r>
            <w:r>
              <w:rPr>
                <w:color w:val="000000"/>
              </w:rPr>
              <w:t xml:space="preserve"> – </w:t>
            </w:r>
            <w:r>
              <w:rPr>
                <w:rFonts w:ascii="Times New Roman;sans-serif" w:hAnsi="Times New Roman;sans-serif"/>
                <w:b w:val="false"/>
                <w:color w:val="000000"/>
                <w:sz w:val="18"/>
              </w:rPr>
              <w:t>right-of-use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S&amp;P</w:t>
            </w:r>
            <w:r>
              <w:rPr>
                <w:color w:val="000000"/>
              </w:rPr>
              <w:t xml:space="preserve"> – </w:t>
            </w:r>
            <w:r>
              <w:rPr>
                <w:rFonts w:ascii="Times New Roman;sans-serif" w:hAnsi="Times New Roman;sans-serif"/>
                <w:b w:val="false"/>
                <w:color w:val="000000"/>
                <w:sz w:val="18"/>
              </w:rPr>
              <w:t>Standard and Poor’s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SBA</w:t>
            </w:r>
            <w:r>
              <w:rPr>
                <w:color w:val="000000"/>
              </w:rPr>
              <w:t xml:space="preserve"> – </w:t>
            </w:r>
            <w:r>
              <w:rPr>
                <w:rFonts w:ascii="Times New Roman;sans-serif" w:hAnsi="Times New Roman;sans-serif"/>
                <w:b w:val="false"/>
                <w:color w:val="000000"/>
                <w:sz w:val="18"/>
              </w:rPr>
              <w:t>United States Small Business Administration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SEC</w:t>
            </w:r>
            <w:r>
              <w:rPr>
                <w:color w:val="000000"/>
              </w:rPr>
              <w:t xml:space="preserve"> – </w:t>
            </w:r>
            <w:r>
              <w:rPr>
                <w:rFonts w:ascii="Times New Roman;sans-serif" w:hAnsi="Times New Roman;sans-serif"/>
                <w:b w:val="false"/>
                <w:color w:val="000000"/>
                <w:sz w:val="18"/>
              </w:rPr>
              <w:t>United States Securities and Exchange Commission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TBA</w:t>
            </w:r>
            <w:r>
              <w:rPr>
                <w:color w:val="000000"/>
              </w:rPr>
              <w:t xml:space="preserve"> – </w:t>
            </w:r>
            <w:r>
              <w:rPr>
                <w:rFonts w:ascii="Times New Roman;sans-serif" w:hAnsi="Times New Roman;sans-serif"/>
                <w:b w:val="false"/>
                <w:color w:val="000000"/>
                <w:sz w:val="18"/>
              </w:rPr>
              <w:t>to-be-announced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VIE</w:t>
            </w:r>
            <w:r>
              <w:rPr>
                <w:color w:val="000000"/>
              </w:rPr>
              <w:t xml:space="preserve"> – </w:t>
            </w:r>
            <w:r>
              <w:rPr>
                <w:rFonts w:ascii="Times New Roman;sans-serif" w:hAnsi="Times New Roman;sans-serif"/>
                <w:b w:val="false"/>
                <w:color w:val="000000"/>
                <w:sz w:val="18"/>
              </w:rPr>
              <w:t>variable interest entity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33"/>
        <w:gridCol w:w="2121"/>
        <w:gridCol w:w="2137"/>
        <w:gridCol w:w="211"/>
        <w:gridCol w:w="1081"/>
        <w:gridCol w:w="109"/>
        <w:gridCol w:w="109"/>
        <w:gridCol w:w="109"/>
        <w:gridCol w:w="109"/>
        <w:gridCol w:w="592"/>
        <w:gridCol w:w="594"/>
        <w:gridCol w:w="500"/>
      </w:tblGrid>
      <w:tr>
        <w:trPr/>
        <w:tc>
          <w:tcPr>
            <w:tcW w:w="253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share and per share data)</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268,746 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cash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579,662 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4,245,205 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3,294,847 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7,540,052 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17,055,808 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411,968 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 and foreclosed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1,051,318 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189,849 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326,040 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27,902,987 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6,136,709 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14,410,285 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1,777,475 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264,690 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24,679,133 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$0.01 par value per share, 1,000,000 shares authorized, none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per share, 234,000,000 shares authorized at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March 31, 2025 and December 31,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2,448,758 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1,083,258 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(309,296)</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3,223,854 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27,902,987 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common stock shares issued and outstanding</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113,517,944 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113,401,955 </w:t>
            </w:r>
          </w:p>
        </w:tc>
        <w:tc>
          <w:tcPr>
            <w:tcW w:w="5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8148" w:type="dxa"/>
        <w:jc w:val="center"/>
        <w:tblInd w:w="0" w:type="dxa"/>
        <w:tblLayout w:type="fixed"/>
        <w:tblCellMar>
          <w:top w:w="28" w:type="dxa"/>
          <w:left w:w="28" w:type="dxa"/>
          <w:bottom w:w="28" w:type="dxa"/>
          <w:right w:w="28" w:type="dxa"/>
        </w:tblCellMar>
      </w:tblPr>
      <w:tblGrid>
        <w:gridCol w:w="1532"/>
        <w:gridCol w:w="1344"/>
        <w:gridCol w:w="1354"/>
        <w:gridCol w:w="109"/>
        <w:gridCol w:w="109"/>
        <w:gridCol w:w="154"/>
        <w:gridCol w:w="154"/>
        <w:gridCol w:w="299"/>
        <w:gridCol w:w="1022"/>
        <w:gridCol w:w="154"/>
        <w:gridCol w:w="109"/>
        <w:gridCol w:w="109"/>
        <w:gridCol w:w="109"/>
        <w:gridCol w:w="591"/>
        <w:gridCol w:w="595"/>
        <w:gridCol w:w="404"/>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917" w:type="dxa"/>
            <w:gridSpan w:val="6"/>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279,402 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FRB Bank Term Funding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112,922 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166,480 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and other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loan fees and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29,989 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 and foreclosed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assessments and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151,843 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4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112,492,142 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112,554,402 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COMPREHENSIVE INCOME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11"/>
        <w:gridCol w:w="2176"/>
        <w:gridCol w:w="2150"/>
        <w:gridCol w:w="109"/>
        <w:gridCol w:w="109"/>
        <w:gridCol w:w="136"/>
        <w:gridCol w:w="136"/>
        <w:gridCol w:w="265"/>
        <w:gridCol w:w="1040"/>
        <w:gridCol w:w="136"/>
        <w:gridCol w:w="109"/>
        <w:gridCol w:w="109"/>
        <w:gridCol w:w="109"/>
        <w:gridCol w:w="360"/>
        <w:gridCol w:w="361"/>
        <w:gridCol w:w="389"/>
      </w:tblGrid>
      <w:tr>
        <w:trPr/>
        <w:tc>
          <w:tcPr>
            <w:tcW w:w="251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437" w:type="dxa"/>
            <w:gridSpan w:val="6"/>
            <w:tcBorders/>
          </w:tcPr>
          <w:p>
            <w:pPr>
              <w:pStyle w:val="TableContents"/>
              <w:bidi w:val="0"/>
              <w:spacing w:before="0" w:after="283"/>
              <w:jc w:val="left"/>
              <w:rPr>
                <w:sz w:val="4"/>
                <w:szCs w:val="4"/>
              </w:rPr>
            </w:pPr>
            <w:r>
              <w:rPr>
                <w:sz w:val="4"/>
                <w:szCs w:val="4"/>
              </w:rPr>
            </w:r>
          </w:p>
        </w:tc>
      </w:tr>
      <w:tr>
        <w:trPr/>
        <w:tc>
          <w:tcPr>
            <w:tcW w:w="6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and Transferred Securities: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gains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securities transferred from available-for-sale to 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on derivatives used for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gains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100,753 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34,435 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UNAUDITED CONDENSED CONSOLIDATED STATEMENTS OF CHANGES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STOCKHOLDERS’ EQUITY</w:t>
      </w:r>
    </w:p>
    <w:p>
      <w:pPr>
        <w:pStyle w:val="TextBody"/>
        <w:bidi w:val="0"/>
        <w:spacing w:lineRule="auto" w:line="288" w:before="0" w:after="0"/>
        <w:jc w:val="center"/>
        <w:rPr/>
      </w:pPr>
      <w:r>
        <w:rPr>
          <w:rFonts w:ascii="Times New Roman;sans-serif" w:hAnsi="Times New Roman;sans-serif"/>
          <w:b/>
          <w:color w:val="000000"/>
          <w:sz w:val="22"/>
        </w:rPr>
        <w:t>Three Months ended March 31, 2025 and 2024</w:t>
      </w:r>
      <w:r>
        <w:rPr>
          <w:color w:val="000000"/>
        </w:rPr>
        <w:t xml:space="preserve">  </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110,888,942 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2,350,104 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1,043,181 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(374,113)</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3,020,281 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113,388,590 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2,443,584 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1,038,294 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(372,305)</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3,110,707 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2025</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113,401,955 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2,448,758 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1,083,258 </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(309,296)</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3,223,854 </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113,517,944 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2,449,311 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1,100,273 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(263,111)</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3,287,608 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p>
      <w:pPr>
        <w:pStyle w:val="TextBody"/>
        <w:bidi w:val="0"/>
        <w:spacing w:lineRule="auto" w:line="288" w:before="0" w:after="0"/>
        <w:jc w:val="center"/>
        <w:rPr>
          <w:color w:val="000000"/>
        </w:rPr>
      </w:pPr>
      <w:r>
        <w:rPr>
          <w:color w:val="000000"/>
        </w:rPr>
        <w:t> </w:t>
      </w:r>
    </w:p>
    <w:tbl>
      <w:tblPr>
        <w:tblW w:w="9789" w:type="dxa"/>
        <w:jc w:val="center"/>
        <w:tblInd w:w="0" w:type="dxa"/>
        <w:tblLayout w:type="fixed"/>
        <w:tblCellMar>
          <w:top w:w="28" w:type="dxa"/>
          <w:left w:w="28" w:type="dxa"/>
          <w:bottom w:w="28" w:type="dxa"/>
          <w:right w:w="28" w:type="dxa"/>
        </w:tblCellMar>
      </w:tblPr>
      <w:tblGrid>
        <w:gridCol w:w="2555"/>
        <w:gridCol w:w="2243"/>
        <w:gridCol w:w="2251"/>
        <w:gridCol w:w="222"/>
        <w:gridCol w:w="758"/>
        <w:gridCol w:w="114"/>
        <w:gridCol w:w="114"/>
        <w:gridCol w:w="114"/>
        <w:gridCol w:w="114"/>
        <w:gridCol w:w="448"/>
        <w:gridCol w:w="452"/>
        <w:gridCol w:w="404"/>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purchase accounting adjustments and deferred loan fees and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of loans held for sale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Bank-owned life insurance income,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net of tax benefits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dispositions of premises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and write-downs of other real estate owned,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core deposit and other intangibles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investments in variable interest entities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accrued interest receivable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other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accrued interest payable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(93,924)</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operating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other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(56,729)</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debt securities, available-for-sale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prepayments and calls of available-for-sale debt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166,314 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available-for-sale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prepayments and calls of held-to-maturity debt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held-to-maturity debt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loans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(88,188)</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premises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to premises and equipment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real estate owned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redemption of non-marketable equity securities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non-marketable equity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(106,892)</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bank-owned life insurance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variable interest entities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from acquisitions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205,507 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209,368 </w:t>
            </w:r>
          </w:p>
        </w:tc>
        <w:tc>
          <w:tcPr>
            <w:tcW w:w="4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 (Continued)</w:t>
      </w:r>
    </w:p>
    <w:p>
      <w:pPr>
        <w:pStyle w:val="TextBody"/>
        <w:bidi w:val="0"/>
        <w:spacing w:lineRule="auto" w:line="288" w:before="0" w:after="0"/>
        <w:jc w:val="left"/>
        <w:rPr>
          <w:color w:val="000000"/>
        </w:rPr>
      </w:pPr>
      <w:r>
        <w:rPr>
          <w:color w:val="000000"/>
        </w:rPr>
        <w:t> </w:t>
      </w:r>
    </w:p>
    <w:tbl>
      <w:tblPr>
        <w:tblW w:w="9137" w:type="dxa"/>
        <w:jc w:val="left"/>
        <w:tblInd w:w="0" w:type="dxa"/>
        <w:tblLayout w:type="fixed"/>
        <w:tblCellMar>
          <w:top w:w="28" w:type="dxa"/>
          <w:left w:w="28" w:type="dxa"/>
          <w:bottom w:w="28" w:type="dxa"/>
          <w:right w:w="28" w:type="dxa"/>
        </w:tblCellMar>
      </w:tblPr>
      <w:tblGrid>
        <w:gridCol w:w="2251"/>
        <w:gridCol w:w="1974"/>
        <w:gridCol w:w="1985"/>
        <w:gridCol w:w="211"/>
        <w:gridCol w:w="826"/>
        <w:gridCol w:w="109"/>
        <w:gridCol w:w="109"/>
        <w:gridCol w:w="109"/>
        <w:gridCol w:w="109"/>
        <w:gridCol w:w="523"/>
        <w:gridCol w:w="527"/>
        <w:gridCol w:w="404"/>
      </w:tblGrid>
      <w:tr>
        <w:trPr/>
        <w:tc>
          <w:tcPr>
            <w:tcW w:w="225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(118,419)</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securities sold under agreements to repurchase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short-term Federal Home Loan Bank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281,657 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short-term FRB Bank Term Funding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(2,740,000)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Federal Home Loan Bank advances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Federal Home Loan Bank advances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other borrowed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for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(718,321)</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(565,682)</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1,354,342 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788,660 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206,846 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and refinancing of other real estate owned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loans to other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obtained in exchange for delayed equity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during the period but not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shares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777,659 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684,503 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GLACIER BANCORP,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Nature of Operations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General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Glacier Bancorp, Inc. (“Company”) is a Montana corporation headquartered in Kalispell, Montana. The Company provides a full range of banking services to individuals and businesses in Montana, Idaho, Utah, Washington, Wyoming, Colorado, Arizona and Nevada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necessary for a fair presentation of the results for the interim periods. All such adjustments are of a normal recurring nature. These interim consolidated financial statements do not include all of the information and footnotes required by accounting principles generally accepted in the United States of America (“GAAP”) for complete financial statements and they should be read in conjunction with the consolidated financial statements and notes thereto contained in the Company’s Annual Report on Form 10-K for the year ended December 31, 2024. Operating results for the three months ended March 31, 2025 are not necessarily indicative of the results anticipated for the year ending December 31, 2025. The condensed consolidated statement of financial condition of the Company as of December 31, 2024 has been derived from the audited consolidated statements of the Company as of that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Principles of Consolidation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Company include the parent holding company and the Bank, which consists of seventeen bank divisions and a corporate division. The corporate division includes the Bank’s investment portfolio, wholesale borrowings and other centralized functions. The Bank divisions operate under separate names, management teams and advisory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accounted for under the equity method in the Company’s consolidated financial statements. For additional information on the Bank’s interest in VIEs, see Note 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parent holding company owns non-bank subsidiaries that have issued trust preferred securities. The trust subsidiaries are not included in the Company’s consolidated financial statements. The Company's investments in the trust subsidiaries are included in other assets on the Company's statements of financial condition and its liabilities to the trust subsidiares are included in subordinated debentures.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Reporting</w:t>
      </w:r>
    </w:p>
    <w:p>
      <w:pPr>
        <w:pStyle w:val="TextBody"/>
        <w:bidi w:val="0"/>
        <w:spacing w:lineRule="auto" w:line="276" w:before="0" w:after="0"/>
        <w:jc w:val="both"/>
        <w:rPr/>
      </w:pPr>
      <w:r>
        <w:rPr>
          <w:rFonts w:ascii="Times New Roman;sans-serif" w:hAnsi="Times New Roman;sans-serif"/>
          <w:b w:val="false"/>
          <w:color w:val="000000"/>
          <w:sz w:val="20"/>
        </w:rPr>
        <w:t xml:space="preserve">The Company operates as a single segment entity for financial reporting purposes and adopted ASU 2023-07,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in the year ended December 31, 2024. The Company has determined that its current operating model is structured whereby banking locations and divisions serve a similar base of commercial and retail customers for which the Company provides similar products and services managed through similar processes and technology platforms. The Chief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Officer (“CEO”) serves as the Company’s chief operating decision maker (“CODM”). The CODM allocates resources and assesses performance of the Company based on the consolidated performance, excluding all significant intercompany balances and transactions of the Company and its wholly owned subsidiary the banking segment, and does not significantly utilize disaggregated segment financial information for decision making and resource allocation. The CODM assesses performance for the banking segment and decides how to allocate resources based on net income as reported on the consolidated statements of operations as consolidated net income. Accordingly, all of 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the requirements of ASU 2023-07 and has determined that no additional segment disclosures are required, specifically as a result of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Company does not use the tracked performance on the disaggregated segment level for decision-making or resource allocation purposes,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no significant segment-specific expenses or performance metrics are used internally for decision-making or resource allocation purposes other than those reported on the consolidated statement of operations,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level of financial consolidation presented in these financial statements aligns with the CODM’s internal reporting and decision-making process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assessment the Company’s financial statement disclosures fully comply with ASC 2023-07, and no additional qualitative segment disclosures are necessary.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Cash Equivalents and Interest Bearing Cash Deposits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cash on hand, cash held as demand deposits at various banks and the Federal Reserve Bank (“FRB”), interest bearing deposits, federal funds sold, and liquid investments with original or acquired maturities of three months or less. Interest bearing deposits are maintained at other financial institutions as collateral for certain derivative contracts and are considered restricted cash. Interest earned on interest bearing cash deposits was $6,143,000 and $15,269,000 for the three months ended March 31, 2025 and 2024, respectively, and are included in interest income on investment securities on the consolidated statements of operations. The Company had no restricted cash held as collateral for derivative contracts as of March 31, 2025 and December 31, 2024, respectively. The Bank is required to maintain an average reserve balance with either the FRB or in the form of cash on hand at a reserve rate determined by the FRB. Effective March 26, 2020, the FRB Board reduced the reserve requirement ratio to zero percent. The required reserve balance at March 31, 2025 was $0.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for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analysis and review of similar risk positions. The due diligence includes consideration of payment performance, collateral adequacy, internal analyses, third party research and analytics, external credit ratings and default statistics.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relating to debt securities, see Note 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Available-for-Sale Debt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available-for-sale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exclude accrued interest from the estimate of credit losses for available-for-sale debt securities. As part of its non-accrual policy, the Company charges-off uncollectable interest at the time it is determined to be uncollectable.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Held-to-Maturity Debt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estimating the allowance for held-to-maturity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held-to-maturity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exclude accrued interest from the estimate of credit losses for held-to-maturity debt securities. As part of its non-accrual policy, the Company charges 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 Held for Sale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or may not be sold with servicing rights released. Changes in fair value are recognized in gain on sale of loans included in non-interest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 Receivable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loan segments or classes are based on the purpose of the loan and consist of residential real estate, commercial real estate, other commercial, home equity, and other consumer loans. Loans that are intended at origination to be held-to-maturity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terms. When a loan is paid off prior to maturity, the remaining unamortized fees and costs on originated loans and unamortized premiums or discounts on acquired loans are immediately recognized as interest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relating to loans, see Note 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Loans Receivable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credit loss estimate process involves procedures to consider the unique characteristics of each of the Company’s loan portfolio segments, which consist of residential real estate, commercial real estate, other commercial, home equity, and other consumer loans. When computing the allowance levels, credit loss assumptions are estimated using a model that categorizes loan pools based on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Residential Real Estate.</w:t>
      </w:r>
      <w:r>
        <w:rPr>
          <w:color w:val="000000"/>
        </w:rPr>
        <w:t xml:space="preserve">  </w:t>
      </w:r>
      <w:r>
        <w:rPr>
          <w:rFonts w:ascii="Times New Roman;sans-serif" w:hAnsi="Times New Roman;sans-serif"/>
          <w:b w:val="false"/>
          <w:color w:val="000000"/>
          <w:sz w:val="20"/>
        </w:rPr>
        <w:t>Residential real estate loans are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Commercial Real Estate</w:t>
      </w:r>
      <w:r>
        <w:rPr>
          <w:rFonts w:ascii="Times New Roman;sans-serif" w:hAnsi="Times New Roman;sans-serif"/>
          <w:b w:val="false"/>
          <w:color w:val="000000"/>
          <w:sz w:val="20"/>
        </w:rPr>
        <w:t>.  Commercial real estate loans typically involve larger principal amounts, and repayment of these loans is generally dependent on the successful operation of the property 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Commercial</w:t>
      </w:r>
      <w:r>
        <w:rPr>
          <w:rFonts w:ascii="Times New Roman;sans-serif" w:hAnsi="Times New Roman;sans-serif"/>
          <w:b w:val="false"/>
          <w:color w:val="000000"/>
          <w:sz w:val="20"/>
        </w:rPr>
        <w:t>.  Commercial loans consist of loans to commercial customers for use in financing working capital needs, equipment purchases and 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i/>
          <w:color w:val="000000"/>
          <w:sz w:val="20"/>
        </w:rPr>
        <w:t>Home Equity</w:t>
      </w:r>
      <w:r>
        <w:rPr>
          <w:rFonts w:ascii="Times New Roman;sans-serif" w:hAnsi="Times New Roman;sans-serif"/>
          <w:b w:val="false"/>
          <w:color w:val="000000"/>
          <w:sz w:val="20"/>
        </w:rPr>
        <w:t>.  Home equity loans consist of junior lien mortgages and first and junior lien lines of credit (revolving open-end and amortizing closed-end)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 Consumer</w:t>
      </w:r>
      <w:r>
        <w:rPr>
          <w:rFonts w:ascii="Times New Roman;sans-serif" w:hAnsi="Times New Roman;sans-serif"/>
          <w:b w:val="false"/>
          <w:color w:val="000000"/>
          <w:sz w:val="20"/>
        </w:rPr>
        <w:t xml:space="preserve">.  The other consumer loan portfolio consists of various short-term loans such as automobile loans and loans for other personal purposes. Repayment of these loans is primarily dependent on the personal income of the borrowers. Credit risk is driven by consumer economic factors (such as unemployment and general economic conditions in the Company’s diverse geographic market areas) and the creditworthiness of a borrower.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Loans that do not Share Similar Risk Characteristics with Other Loans. </w:t>
      </w:r>
      <w:r>
        <w:rPr>
          <w:rFonts w:ascii="Times New Roman;sans-serif" w:hAnsi="Times New Roman;sans-serif"/>
          <w:b w:val="false"/>
          <w:color w:val="000000"/>
          <w:sz w:val="20"/>
        </w:rPr>
        <w:t>For a loan that does not share similar risk characteristics with other loans, expected 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(new or updated) include the cost approach, income approach, sales comparison approach, or a combination of the preceding valuation techniques. The Company’s credit department reviews appraisals, giving consideration to the highest and best use of the collateral. The appraisals or evaluations (new or updated)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 (new or updated).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Loans that Share Similar Risk Characteristics with other Loans. </w:t>
      </w:r>
      <w:r>
        <w:rPr>
          <w:rFonts w:ascii="Times New Roman;sans-serif" w:hAnsi="Times New Roman;sans-serif"/>
          <w:b w:val="false"/>
          <w:color w:val="000000"/>
          <w:sz w:val="20"/>
        </w:rPr>
        <w:t xml:space="preserve">For estimating the allowance for loans that share similar risk characteristics with other 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pStyle w:val="TextBody"/>
        <w:bidi w:val="0"/>
        <w:spacing w:before="120" w:after="283"/>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lending policies and procedures;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international, national, regional and local economic business conditions, developments, or environmental conditions that affect the collectability of the portfolio, including the condition of various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nature and volume of the loan portfolio including the terms of the loans;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experience, ability, and depth of the lending management and other relevant staff;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volume and severity of past due and adversely classified or graded loans and the volume of non-accrual loans;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quality of our loan review system;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value of underlying collateral for collateralized loans;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existence and effect of any concentrations of credit, and changes in the level of concentrations;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effect of external factors such as competition and legal and regulatory requirements on the level of estimated credit losses in the existing portfolio.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commercial real estate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commercial real estate and commercial loans.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Pass Loans.</w:t>
      </w:r>
      <w:r>
        <w:rPr>
          <w:color w:val="000000"/>
        </w:rPr>
        <w:t xml:space="preserve"> </w:t>
      </w:r>
      <w:r>
        <w:rPr>
          <w:rFonts w:ascii="Times New Roman;sans-serif" w:hAnsi="Times New Roman;sans-serif"/>
          <w:b w:val="false"/>
          <w:color w:val="000000"/>
          <w:sz w:val="20"/>
        </w:rPr>
        <w:t xml:space="preserve">These ratings represent loans that are of acceptable, good or excellent quality with very limited to no risk. Loans that do not have one of the following ratings are considered pass loans.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Special Mention Loans.</w:t>
      </w:r>
      <w:r>
        <w:rPr>
          <w:color w:val="000000"/>
        </w:rPr>
        <w:t xml:space="preserve"> </w:t>
      </w:r>
      <w:r>
        <w:rPr>
          <w:rFonts w:ascii="Times New Roman;sans-serif" w:hAnsi="Times New Roman;sans-serif"/>
          <w:b w:val="false"/>
          <w:color w:val="000000"/>
          <w:sz w:val="20"/>
        </w:rPr>
        <w:t>These ratings represent loans that are designated as special mention per the regulatory definition. Special mention loans are 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Bank’s credit position. Examples include a lack of supervision, inadequate loan agreement, condition, or control of collateral, incomplete, or improper documentation, deviations from lending policy, and adverse trends in operations or economic conditions.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Substandard Loans. </w:t>
      </w:r>
      <w:r>
        <w:rPr>
          <w:rFonts w:ascii="Times New Roman;sans-serif" w:hAnsi="Times New Roman;sans-serif"/>
          <w:b w:val="false"/>
          <w:color w:val="000000"/>
          <w:sz w:val="20"/>
        </w:rPr>
        <w:t>This rating represents loans that are inadequately protected by the current sound worth and paying capacity of the obligor or of the collateral pledged. A loan so classified must have a well-defined weakness that jeopardizes the liquidation of the debt. These loans are characterized by the distinct possibility that the Bank will sustain some loss if the deficiencies are not corrected. Loss potential, while existing in the aggregated amount of substandard loans, does not have to exist in an individual loan classified substandard.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Doubtful/Loss Loans. </w:t>
      </w:r>
      <w:r>
        <w:rPr>
          <w:rFonts w:ascii="Times New Roman;sans-serif" w:hAnsi="Times New Roman;sans-serif"/>
          <w:b w:val="false"/>
          <w:color w:val="000000"/>
          <w:sz w:val="20"/>
        </w:rPr>
        <w:t>A loan classified as doubtful has the characteristics that make collection in full, on the basis of currently existing facts, conditions, 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Bank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Modifications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allowance for credit losses on loans that are considered MBFD’s are measured using the same method as all other loans held for investment.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Off-Balance Sheet Credit Exposures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separate allowance for credit losses for off-balance sheet credit exposures, including unfunded loan commitments. Such ACL is included in other liabilities on the Company’s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reported for off-balance sheet credit exposures that are unconditionally cancellable by the Bank. At March 31, 2025 and December 31, 2024, the Company had an ACL of $22,079,000 and $20,419,000, respectively, for off-balance sheet credit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Provision for Credit Losses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provision for credit losses on the allowance for off-balance sheet credit exposures (e.g., unfunded loan commitments) together with provision for credit losses on the loan portfolio in the consolidated statement of operations line item provision for credit losses.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provision for credit losses on the loan portfolio and off-balance sheet exposures: </w:t>
      </w:r>
    </w:p>
    <w:tbl>
      <w:tblPr>
        <w:tblW w:w="6213" w:type="dxa"/>
        <w:jc w:val="left"/>
        <w:tblInd w:w="0" w:type="dxa"/>
        <w:tblLayout w:type="fixed"/>
        <w:tblCellMar>
          <w:top w:w="28" w:type="dxa"/>
          <w:left w:w="28" w:type="dxa"/>
          <w:bottom w:w="28" w:type="dxa"/>
          <w:right w:w="28" w:type="dxa"/>
        </w:tblCellMar>
      </w:tblPr>
      <w:tblGrid>
        <w:gridCol w:w="1038"/>
        <w:gridCol w:w="912"/>
        <w:gridCol w:w="915"/>
        <w:gridCol w:w="109"/>
        <w:gridCol w:w="109"/>
        <w:gridCol w:w="356"/>
        <w:gridCol w:w="356"/>
        <w:gridCol w:w="356"/>
        <w:gridCol w:w="356"/>
        <w:gridCol w:w="359"/>
        <w:gridCol w:w="109"/>
        <w:gridCol w:w="109"/>
        <w:gridCol w:w="109"/>
        <w:gridCol w:w="308"/>
        <w:gridCol w:w="308"/>
        <w:gridCol w:w="40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347" w:type="dxa"/>
            <w:gridSpan w:val="6"/>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 unfunded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provision for credit losses on debt securities for the three months ended March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Premises and Equipment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Leases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right-of-use (“ROU”) assets on the Company’s statement of financial condition. The operating leases have an ROU liability in operating lease liabilities on the Company’s statements of financial condition and lease expense for lease payments is recognized on a straight-line basis over the lease term. The finance leases have liabilities that are included in finance lease liabilities on the Company’s statements of financial condition.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statements of financial condition. Renewal and termination options are considered when determining short-term leases. Leases are accounted for on an individual lease level.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improvements incurred at the inception of the lease are recorded as an asset and depreciated over the initial term of the lease and lease improvements incurred subsequently are depreciated over the remaining term of the lease.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Real Estate Owned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other real estate owned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Business Combinations and Intangible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at the reporting unit level annually during the third quarter. The Company has identified that each of the Bank divisions are reporting units (i.e., components of the Glacier Bank operating segment) given that each division has a separate management team that regularly reviews its respective division financial information; however, the reporting units are aggregated into a single reporting unit due to the reporting units having similar economic characteristics.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change in legal factors or in the business climate;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loss of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more-likely-than-not expectation that a reporting unit or a significant portion of a reporting unit will be sold or otherwise disposed of;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testing for recoverability of a significant asset group within a reporting unit.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2024 and 2023 annual goodwill impairment testing and proceed directly to the goodwill impairment assessment. The goodwill impairment process requires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to make assumptions and judgments regarding fair value. The Company calculates an implied fair value and if the implied fair value is less than the carrying value, an impairment loss is recognized for the difference. For additional information relating to goodwill, see Note 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 Servicing Rights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Non-marketable equity securities primarily consist of Federal Home Loan Bank (“FHLB”) stock.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an insignificant amount of equity securities that are included in other assets on the Company’s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Federal Reserve Bank Term Funding Program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FRB offered a new Bank Term Funding Program (“BTFP”) for eligible depository institutions. The Company paid off this borrowing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Borrowings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of the Company’s consolidated variable interest entities and finance lease arrangements are included in other borrowings. For additional information relating to VIE’s, see Note 7.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Bank-Owned Life Insurance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Derivatives and Hedging Activities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risks relating to its ongoing operations. The primary risk managed by using derivative instruments is interest rate risk. Interest rate cap contracts have been entered into to manage interest rate risk associated with variable rate borrowings and were designated as cash flow hedges. Interest rate swap contracts have been entered into to manage interest rate risk associated with fixed rate debt securities and were designated as fair value hedges. The Company does not enter into derivative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hedges and cash flow hedges were recognized as other assets or other liabilities on the Company’s statements of financial condition and were measured at fair value. For the fair value hedges, the gain or loss on the derivative,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offsetting loss or gain on the hedged item attributable to the hedged risk, are recognized in current earnings as fair values change. For a cash flow hedge, the gain or loss on the derivative is reported in other comprehensive income and is reclassified into earnings in the same periods during which the hedged transaction affects earnings. Cash flows resulting from the fair value hedges and cash flow hedges were classified in the Company’s cash flow statement in the same category as the cash flows of the items being hedged.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financial condition or to specific firm commitments or forecasted transactions. The Company also formally assesses, both at the hedge’s inception and on an ongoing basis, whether the derivative instruments that are designated are highly effective in offsetting changes in fair values or cash flows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relating to the derivatives and hedging activity, see Note 9.</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services or products are transferred to customers in an amount that reflects the consideration to which the Company expects to be entitled. Revenue from contracts with customers within the scope of ASC Topic 606 was $22,543,000 and $22,151,000 for the three months ended March 31, 2025 and 2024, respectively, and largely consisted of revenue from service charges and other fees from deposits (e.g., overdraft fees, ATM fees, debit card fees). Due to the short-term nature of the Company’s contracts with customers, an insignificant amount of receivables related to such revenue was recorded at March 31, 2025 and December 31, 2024 and there were no impairment losses recognized. Policies specific to revenue from contracts with customers include the following: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Service Charges.</w:t>
      </w:r>
      <w:r>
        <w:rPr>
          <w:color w:val="000000"/>
        </w:rPr>
        <w:t xml:space="preserve"> </w:t>
      </w:r>
      <w:r>
        <w:rPr>
          <w:rFonts w:ascii="Times New Roman;sans-serif" w:hAnsi="Times New Roman;sans-serif"/>
          <w:b w:val="false"/>
          <w:color w:val="000000"/>
          <w:sz w:val="20"/>
        </w:rPr>
        <w:t>Revenue from service charges consists of service charges and fees on deposit accounts under depository agreements with customers to 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Debit Card Fees.</w:t>
      </w:r>
      <w:r>
        <w:rPr>
          <w:color w:val="000000"/>
        </w:rPr>
        <w:t xml:space="preserve"> </w:t>
      </w:r>
      <w:r>
        <w:rPr>
          <w:rFonts w:ascii="Times New Roman;sans-serif" w:hAnsi="Times New Roman;sans-serif"/>
          <w:b w:val="false"/>
          <w:color w:val="000000"/>
          <w:sz w:val="20"/>
        </w:rPr>
        <w:t>Revenue from debit card fees includes interchange fee income from debit cards processed through card association networks. Interchange 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Reclassifications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reclassifications have been made to the 2024 financial statements to conform to the 2025 presentation. These reclassifications had no effect on net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Accounting Guidance Pending Adoption in 2025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a recently issued but not yet effective Accounting Standards Updates (“ASU”) that could have a material effect on the Company’s financial position or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ASU 2024-03 - Disaggregation of Income Statement Expenses. </w:t>
      </w:r>
      <w:r>
        <w:rPr>
          <w:rFonts w:ascii="Times New Roman;sans-serif" w:hAnsi="Times New Roman;sans-serif"/>
          <w:b w:val="false"/>
          <w:color w:val="000000"/>
          <w:sz w:val="20"/>
        </w:rPr>
        <w:t xml:space="preserve">In November 2024, FASB amended subtopic 220-40 which requires certain disaggregated disclosures of the income statement (the “Update”).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early adoption permitted. The amendments in this Update should be applied on a prospective basis or retrospective to any or all prior periods presented in the financial statements.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ASU 2023-09 - Income Tax Disclosures. </w:t>
      </w:r>
      <w:r>
        <w:rPr>
          <w:rFonts w:ascii="Times New Roman;sans-serif" w:hAnsi="Times New Roman;sans-serif"/>
          <w:b w:val="false"/>
          <w:color w:val="000000"/>
          <w:sz w:val="20"/>
        </w:rPr>
        <w:t>In December 2023, FASB amended topic 740 related to certain income tax disclosures (the “Update”). The amendments provide updates related to the rate reconciliation and income taxes paid disclosures to improve transparency of income disclosures by requiring (1) consistent categories and greater disaggregation of information in the rate reconciliation and (2) income taxes paid disaggregated by jurisdiction. Other amendments in the Update improve the effectiveness and comparability of disclosures and remove disclosures that are no longer considered cost beneficial or relevant. The amendments are effective for public business entities beginning with the first annual reporting period after December 15, 2024 with early adoption permitted in any annual period. The amendments in this Update should be applied on a prospective basis and retrospective application is permitted.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Debt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amortized cost, the gross unrealized gains and losses and the fair value of the Company’s debt securities:</w:t>
      </w:r>
    </w:p>
    <w:tbl>
      <w:tblPr>
        <w:tblW w:w="9112" w:type="dxa"/>
        <w:jc w:val="left"/>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2,278,421 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1,025,692 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(350,714)</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4,172,312 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816,853 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(308,967)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2,953,423 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(659,681)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7,125,735 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9112" w:type="dxa"/>
        <w:jc w:val="center"/>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(411,332)</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4,245,205 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804,936 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2,968,570 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(738,419)</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7,213,775 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Maturity Analysis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and fair value of available-for-sale and held-to-maturity debt securities by contractual maturity at March 31, 2025. Actual maturities may differ from expected or contractual maturities since some issuers have the right to prepay obligations with or without prepayment penalties.</w:t>
      </w:r>
    </w:p>
    <w:tbl>
      <w:tblPr>
        <w:tblW w:w="9803" w:type="dxa"/>
        <w:jc w:val="center"/>
        <w:tblInd w:w="0" w:type="dxa"/>
        <w:tblLayout w:type="fixed"/>
        <w:tblCellMar>
          <w:top w:w="28" w:type="dxa"/>
          <w:left w:w="28" w:type="dxa"/>
          <w:bottom w:w="28" w:type="dxa"/>
          <w:right w:w="28" w:type="dxa"/>
        </w:tblCellMar>
      </w:tblPr>
      <w:tblGrid>
        <w:gridCol w:w="1137"/>
        <w:gridCol w:w="997"/>
        <w:gridCol w:w="1000"/>
        <w:gridCol w:w="224"/>
        <w:gridCol w:w="1040"/>
        <w:gridCol w:w="116"/>
        <w:gridCol w:w="109"/>
        <w:gridCol w:w="109"/>
        <w:gridCol w:w="109"/>
        <w:gridCol w:w="488"/>
        <w:gridCol w:w="488"/>
        <w:gridCol w:w="316"/>
        <w:gridCol w:w="109"/>
        <w:gridCol w:w="109"/>
        <w:gridCol w:w="109"/>
        <w:gridCol w:w="542"/>
        <w:gridCol w:w="459"/>
        <w:gridCol w:w="461"/>
        <w:gridCol w:w="164"/>
        <w:gridCol w:w="164"/>
        <w:gridCol w:w="164"/>
        <w:gridCol w:w="486"/>
        <w:gridCol w:w="490"/>
        <w:gridCol w:w="413"/>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19,694 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952,582 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907,008 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217,784 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208,141 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1,284,608 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1,083,738 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2,474,687 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2,218,581 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Mortgage-backed securities </w:t>
            </w:r>
            <w:r>
              <w:rPr>
                <w:rFonts w:ascii="Times New Roman;sans-serif" w:hAnsi="Times New Roman;sans-serif"/>
                <w:b w:val="false"/>
                <w:color w:val="000000"/>
                <w:sz w:val="13"/>
              </w:rPr>
              <w:t>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3,628,745 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786,888 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734,842 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4,172,312 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2,953,423 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9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Sales and Calls of Debt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and calls of debt securities and the associated gains and losses that have been included in earnings in gain (loss) on sale of securities are listed below:</w:t>
      </w:r>
    </w:p>
    <w:tbl>
      <w:tblPr>
        <w:tblW w:w="7443" w:type="dxa"/>
        <w:jc w:val="left"/>
        <w:tblInd w:w="0" w:type="dxa"/>
        <w:tblLayout w:type="fixed"/>
        <w:tblCellMar>
          <w:top w:w="28" w:type="dxa"/>
          <w:left w:w="28" w:type="dxa"/>
          <w:bottom w:w="28" w:type="dxa"/>
          <w:right w:w="28" w:type="dxa"/>
        </w:tblCellMar>
      </w:tblPr>
      <w:tblGrid>
        <w:gridCol w:w="1408"/>
        <w:gridCol w:w="1236"/>
        <w:gridCol w:w="1241"/>
        <w:gridCol w:w="109"/>
        <w:gridCol w:w="109"/>
        <w:gridCol w:w="356"/>
        <w:gridCol w:w="356"/>
        <w:gridCol w:w="356"/>
        <w:gridCol w:w="356"/>
        <w:gridCol w:w="359"/>
        <w:gridCol w:w="109"/>
        <w:gridCol w:w="109"/>
        <w:gridCol w:w="109"/>
        <w:gridCol w:w="413"/>
        <w:gridCol w:w="413"/>
        <w:gridCol w:w="404"/>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557"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and calls of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173,268 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realized gains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realized losses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calls of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realized gains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Gross realized losses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The gain or loss on the sale or call of each debt security is determined by the specific identification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Available-for-Sale Debt Securities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available-for-sale debt securities that were in an unrealized loss position for which an ACL has not been recorded, based on the length of time the individual securities have been in an unrealized loss position. The number of available-for-sale debt securities in an unrealized loss position is also disclosed.</w:t>
      </w:r>
    </w:p>
    <w:p>
      <w:pPr>
        <w:pStyle w:val="TextBody"/>
        <w:bidi w:val="0"/>
        <w:spacing w:before="0" w:after="0"/>
        <w:jc w:val="left"/>
        <w:rPr/>
      </w:pPr>
      <w:r>
        <w:rPr/>
      </w:r>
    </w:p>
    <w:tbl>
      <w:tblPr>
        <w:tblW w:w="11258"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721"/>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20"/>
        <w:gridCol w:w="421"/>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2"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2,272,146 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4,063,334 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(349,656)</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4,121,704 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(350,714)</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1258"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721"/>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20"/>
        <w:gridCol w:w="421"/>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2"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2,355,235 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(304,819)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986,809 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(73,572)</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4,165,269 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4,222,679 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(411,332)</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severity, the majority of available-for-sale debt securities with unrealized loss positions at March 31, 2025 were issued by Federal National Mortgage Association (“Fannie Mae”), Federal Home Loan Mortgage Corporation (“Freddie Mac”), Government National Mortgage Association (“Ginnie Mae”) and other agencies of the U.S. government or have credit ratings issued by one or more of the NRSRO entities in the four highest credit rating categories. All of the Company’s available-for-sale debt securities with unrealized loss positions at March 31, 2025 have been determined to be investment grade.</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past due available-for-sale debt securities as of March 31, 2025 and December 31, 2024, respectively. Accrued interest receivable on available-for-sale debt securities totaled $8,173,000 and $8,037,000 at March 31, 2025, and December 31, 2024, respectively, and was excluded from the estimate of credit losses.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an analysis of its available-for-sale debt securities with unrealized losses as of March 31, 2025,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March 31, 2025, management determined it did not intend to sell available-for-sale debt securities with unrealized losses, and there was no expected requirement to sell such securities before recovery of their amortized cost. As a result, no ACL was recorded on available-for-sale debt securities at March 31, 2025.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Held-to-Maturity Debt Securities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measured expected credit losses on held-to-maturity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held-to-maturity municipal bonds aggregated by NRSRO credit rating:</w:t>
      </w:r>
    </w:p>
    <w:tbl>
      <w:tblPr>
        <w:tblW w:w="7022" w:type="dxa"/>
        <w:jc w:val="center"/>
        <w:tblInd w:w="0" w:type="dxa"/>
        <w:tblLayout w:type="fixed"/>
        <w:tblCellMar>
          <w:top w:w="28" w:type="dxa"/>
          <w:left w:w="28" w:type="dxa"/>
          <w:bottom w:w="28" w:type="dxa"/>
          <w:right w:w="28" w:type="dxa"/>
        </w:tblCellMar>
      </w:tblPr>
      <w:tblGrid>
        <w:gridCol w:w="1414"/>
        <w:gridCol w:w="1241"/>
        <w:gridCol w:w="1245"/>
        <w:gridCol w:w="211"/>
        <w:gridCol w:w="976"/>
        <w:gridCol w:w="109"/>
        <w:gridCol w:w="109"/>
        <w:gridCol w:w="109"/>
        <w:gridCol w:w="109"/>
        <w:gridCol w:w="488"/>
        <w:gridCol w:w="488"/>
        <w:gridCol w:w="523"/>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 held-to-maturity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AAA / Moody’s: Aaa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414,147 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AA+, AA, AA- / Moody’s: Aa1, Aa2, Aa3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1,168,491 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 A, A- / Moody’s: A1, A2, 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rated by either entity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municipal bonds held-to-maturity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1,619,850 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Company’s municipal bonds in the held-to-maturity debt securities portfolio is primarily comprised of general obligation and revenue bonds with NRSRO ratings in the four highest credit rating categories. All of the Company’s municipal bonds that are classified as held-to-maturity debt securities at March 31, 2025 have been determined to be investment grade. Held-to-maturity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did not have any held-to-maturity debt securities past due. Accrued interest receivable on held-to-maturity debt securities totaled $19,131,000 and $16,538,000 at March 31, 2025 and December 31, 2024, respectively, and were excluded from the estimate of credit losses.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evaluation, an insignificant amount of credit losses is expected on the held-to-maturity debt securities portfolio; therefore, no ACL was recorded at March 31, 2025 or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Loans Receivable, Net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loans receivable for each portfolio segment of loans:</w:t>
      </w:r>
    </w:p>
    <w:tbl>
      <w:tblPr>
        <w:tblW w:w="8626" w:type="dxa"/>
        <w:jc w:val="center"/>
        <w:tblInd w:w="0" w:type="dxa"/>
        <w:tblLayout w:type="fixed"/>
        <w:tblCellMar>
          <w:top w:w="28" w:type="dxa"/>
          <w:left w:w="28" w:type="dxa"/>
          <w:bottom w:w="28" w:type="dxa"/>
          <w:right w:w="28" w:type="dxa"/>
        </w:tblCellMar>
      </w:tblPr>
      <w:tblGrid>
        <w:gridCol w:w="1920"/>
        <w:gridCol w:w="1685"/>
        <w:gridCol w:w="1689"/>
        <w:gridCol w:w="211"/>
        <w:gridCol w:w="1081"/>
        <w:gridCol w:w="109"/>
        <w:gridCol w:w="109"/>
        <w:gridCol w:w="109"/>
        <w:gridCol w:w="109"/>
        <w:gridCol w:w="540"/>
        <w:gridCol w:w="541"/>
        <w:gridCol w:w="523"/>
      </w:tblGrid>
      <w:tr>
        <w:trPr/>
        <w:tc>
          <w:tcPr>
            <w:tcW w:w="19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1,858,929 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10,963,713 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388,678 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17,055,808 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origination fees included in loans receivable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w:t>
            </w:r>
          </w:p>
        </w:tc>
        <w:tc>
          <w:tcPr>
            <w:tcW w:w="5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purchase accounting discounts included in 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significant purchases or sales of portfolio loans or reclassification of loans held for investment to loans held for sale during the three months ended March 31, 2025.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for Credit Losses - Loans Receivable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ACL is a valuation account that is deducted from the amortized cost basis to present the net amount expected to be collected on loans. The following tables summarize the activity in the ACL:</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26,595 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140,369 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5"/>
        <w:gridCol w:w="380"/>
        <w:gridCol w:w="381"/>
        <w:gridCol w:w="211"/>
        <w:gridCol w:w="826"/>
        <w:gridCol w:w="109"/>
        <w:gridCol w:w="109"/>
        <w:gridCol w:w="109"/>
        <w:gridCol w:w="109"/>
        <w:gridCol w:w="436"/>
        <w:gridCol w:w="412"/>
        <w:gridCol w:w="413"/>
        <w:gridCol w:w="109"/>
        <w:gridCol w:w="109"/>
        <w:gridCol w:w="109"/>
        <w:gridCol w:w="507"/>
        <w:gridCol w:w="432"/>
        <w:gridCol w:w="433"/>
        <w:gridCol w:w="109"/>
        <w:gridCol w:w="109"/>
        <w:gridCol w:w="109"/>
        <w:gridCol w:w="399"/>
        <w:gridCol w:w="399"/>
        <w:gridCol w:w="400"/>
        <w:gridCol w:w="109"/>
        <w:gridCol w:w="109"/>
        <w:gridCol w:w="109"/>
        <w:gridCol w:w="394"/>
        <w:gridCol w:w="341"/>
        <w:gridCol w:w="257"/>
        <w:gridCol w:w="109"/>
        <w:gridCol w:w="109"/>
        <w:gridCol w:w="109"/>
        <w:gridCol w:w="363"/>
        <w:gridCol w:w="315"/>
        <w:gridCol w:w="457"/>
      </w:tblGrid>
      <w:tr>
        <w:trPr/>
        <w:tc>
          <w:tcPr>
            <w:tcW w:w="7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22,325 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21,194 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24,166 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135,153 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22,094 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ACL increased primarily of the combined increase in qualitative factors and the impact from the economic forecasts. During the three months ended March 31, 2024, the ACL increased primarily as a result of the $5,271,000 provision for credit losses recorded as a result of the acquisition of Wheatland bank.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sizeable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three months ended March 31, 2025, there have been no significant changes to the types of collateral securing collateral-dependent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Aging Analysis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an aging analysis of the recorded investment in loans:</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2"/>
        <w:gridCol w:w="414"/>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19,095 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28,642 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1,830,984 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10,931,426 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3,092,835 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1,850,079 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3,121,477 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920,132 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374,021 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 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1,844,896 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10,941,158 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3,109,251 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1,858,929 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10,963,713 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3,119,535 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388,678 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$322,000 and $25,000 of interest reversed on non-accrual loans during the three months ended March 31, 2025 and March 31, 2024, respectively.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Collateral-Dependent Loans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three months ended March 31, 2025, there were no significant changes to collateral which secures the collateral-dependent loans, whether due to general deterioration or other reasons. The following tables present the amortized cost basis of collateral-dependent loans by collateral type:</w:t>
      </w:r>
    </w:p>
    <w:tbl>
      <w:tblPr>
        <w:tblW w:w="9667"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67"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 Modifications Made to Borrowers Experiencing Financial Difficulty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disclosures for loan modifications made to borrowers experiencing financial difficulty (“MBFD”) are presented in accordance with ASC Topic 310. The following tables show the amortized cost basis at the end of the periods of MBFD loans by segment: </w:t>
      </w:r>
    </w:p>
    <w:tbl>
      <w:tblPr>
        <w:tblW w:w="10205" w:type="dxa"/>
        <w:jc w:val="left"/>
        <w:tblInd w:w="0" w:type="dxa"/>
        <w:tblLayout w:type="fixed"/>
        <w:tblCellMar>
          <w:top w:w="28" w:type="dxa"/>
          <w:left w:w="28" w:type="dxa"/>
          <w:bottom w:w="28" w:type="dxa"/>
          <w:right w:w="28" w:type="dxa"/>
        </w:tblCellMar>
      </w:tblPr>
      <w:tblGrid>
        <w:gridCol w:w="611"/>
        <w:gridCol w:w="311"/>
        <w:gridCol w:w="312"/>
        <w:gridCol w:w="109"/>
        <w:gridCol w:w="109"/>
        <w:gridCol w:w="128"/>
        <w:gridCol w:w="128"/>
        <w:gridCol w:w="289"/>
        <w:gridCol w:w="783"/>
        <w:gridCol w:w="138"/>
        <w:gridCol w:w="113"/>
        <w:gridCol w:w="113"/>
        <w:gridCol w:w="113"/>
        <w:gridCol w:w="281"/>
        <w:gridCol w:w="158"/>
        <w:gridCol w:w="347"/>
        <w:gridCol w:w="113"/>
        <w:gridCol w:w="575"/>
        <w:gridCol w:w="575"/>
        <w:gridCol w:w="576"/>
        <w:gridCol w:w="113"/>
        <w:gridCol w:w="113"/>
        <w:gridCol w:w="113"/>
        <w:gridCol w:w="316"/>
        <w:gridCol w:w="609"/>
        <w:gridCol w:w="164"/>
        <w:gridCol w:w="109"/>
        <w:gridCol w:w="109"/>
        <w:gridCol w:w="109"/>
        <w:gridCol w:w="290"/>
        <w:gridCol w:w="148"/>
        <w:gridCol w:w="373"/>
        <w:gridCol w:w="109"/>
        <w:gridCol w:w="109"/>
        <w:gridCol w:w="109"/>
        <w:gridCol w:w="211"/>
        <w:gridCol w:w="616"/>
        <w:gridCol w:w="109"/>
        <w:gridCol w:w="109"/>
        <w:gridCol w:w="109"/>
        <w:gridCol w:w="109"/>
        <w:gridCol w:w="167"/>
      </w:tblGrid>
      <w:tr>
        <w:trPr/>
        <w:tc>
          <w:tcPr>
            <w:tcW w:w="6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602"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 March 31, 2025</w:t>
            </w:r>
          </w:p>
        </w:tc>
        <w:tc>
          <w:tcPr>
            <w:tcW w:w="2895" w:type="dxa"/>
            <w:gridSpan w:val="16"/>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Extension and Payment Deferral</w:t>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Combination - Term Extension and Interest Rate Reduction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757" w:type="dxa"/>
            <w:gridSpan w:val="10"/>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2009" w:type="dxa"/>
        <w:jc w:val="left"/>
        <w:tblInd w:w="0" w:type="dxa"/>
        <w:tblLayout w:type="fixed"/>
        <w:tblCellMar>
          <w:top w:w="28" w:type="dxa"/>
          <w:left w:w="28" w:type="dxa"/>
          <w:bottom w:w="28" w:type="dxa"/>
          <w:right w:w="28" w:type="dxa"/>
        </w:tblCellMar>
      </w:tblPr>
      <w:tblGrid>
        <w:gridCol w:w="594"/>
        <w:gridCol w:w="258"/>
        <w:gridCol w:w="259"/>
        <w:gridCol w:w="236"/>
        <w:gridCol w:w="616"/>
        <w:gridCol w:w="109"/>
        <w:gridCol w:w="109"/>
        <w:gridCol w:w="109"/>
        <w:gridCol w:w="109"/>
        <w:gridCol w:w="280"/>
        <w:gridCol w:w="126"/>
        <w:gridCol w:w="289"/>
        <w:gridCol w:w="109"/>
        <w:gridCol w:w="109"/>
        <w:gridCol w:w="109"/>
        <w:gridCol w:w="211"/>
        <w:gridCol w:w="721"/>
        <w:gridCol w:w="109"/>
        <w:gridCol w:w="109"/>
        <w:gridCol w:w="109"/>
        <w:gridCol w:w="109"/>
        <w:gridCol w:w="297"/>
        <w:gridCol w:w="109"/>
        <w:gridCol w:w="271"/>
        <w:gridCol w:w="109"/>
        <w:gridCol w:w="109"/>
        <w:gridCol w:w="109"/>
        <w:gridCol w:w="257"/>
        <w:gridCol w:w="569"/>
        <w:gridCol w:w="135"/>
        <w:gridCol w:w="109"/>
        <w:gridCol w:w="109"/>
        <w:gridCol w:w="109"/>
        <w:gridCol w:w="286"/>
        <w:gridCol w:w="120"/>
        <w:gridCol w:w="301"/>
        <w:gridCol w:w="109"/>
        <w:gridCol w:w="109"/>
        <w:gridCol w:w="109"/>
        <w:gridCol w:w="211"/>
        <w:gridCol w:w="721"/>
        <w:gridCol w:w="109"/>
        <w:gridCol w:w="109"/>
        <w:gridCol w:w="109"/>
        <w:gridCol w:w="109"/>
        <w:gridCol w:w="297"/>
        <w:gridCol w:w="109"/>
        <w:gridCol w:w="271"/>
        <w:gridCol w:w="109"/>
        <w:gridCol w:w="109"/>
        <w:gridCol w:w="109"/>
        <w:gridCol w:w="211"/>
        <w:gridCol w:w="721"/>
        <w:gridCol w:w="109"/>
        <w:gridCol w:w="109"/>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7"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 March 31,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Extension and Payment Deferral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w:t>
              <w:br/>
              <w:t>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Combination - Term Extension and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w:t>
              <w:br/>
              <w:t>  estate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w:t>
              <w:br/>
              <w:t>   estate</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describe the financial effect of the MBFD loans by segment: </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711"/>
        <w:gridCol w:w="626"/>
        <w:gridCol w:w="628"/>
        <w:gridCol w:w="1195"/>
        <w:gridCol w:w="1195"/>
        <w:gridCol w:w="1195"/>
        <w:gridCol w:w="460"/>
        <w:gridCol w:w="460"/>
        <w:gridCol w:w="460"/>
        <w:gridCol w:w="985"/>
        <w:gridCol w:w="985"/>
        <w:gridCol w:w="985"/>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 March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Reduction</w:t>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147" w:type="dxa"/>
        <w:jc w:val="left"/>
        <w:tblInd w:w="0" w:type="dxa"/>
        <w:tblLayout w:type="fixed"/>
        <w:tblCellMar>
          <w:top w:w="28" w:type="dxa"/>
          <w:left w:w="28" w:type="dxa"/>
          <w:bottom w:w="28" w:type="dxa"/>
          <w:right w:w="28" w:type="dxa"/>
        </w:tblCellMar>
      </w:tblPr>
      <w:tblGrid>
        <w:gridCol w:w="712"/>
        <w:gridCol w:w="624"/>
        <w:gridCol w:w="628"/>
        <w:gridCol w:w="1195"/>
        <w:gridCol w:w="1195"/>
        <w:gridCol w:w="1195"/>
        <w:gridCol w:w="460"/>
        <w:gridCol w:w="460"/>
        <w:gridCol w:w="460"/>
        <w:gridCol w:w="985"/>
        <w:gridCol w:w="985"/>
        <w:gridCol w:w="985"/>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 March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Reduction</w:t>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month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that were modified within the preceding twelve months that had a payment default during the period ended March 31, 2025 had an ending balances of $319,000, and $917,000, and were included in other commercial loans, and commercial real estate loans, respectively. During the period ending March 31, 2024, there were loans with period ending balances of $2,159,000 that were modified during the twelve months that had a payment default, and were included in commercial real estate. There were $1,297,000 and $462,000 of additional unfunded commitments on MBFDs outstanding at March 31, 2025 and December 31, 2024, respectively. At March 31, 2025 and December 31, 2024, the Company had $1,673,000 and $207,000, respectively, of consumer mortgage loans secured by residential real estate properties for which formal foreclosure proceedings are in process. At both March 31, 2025 and December 31, 2024, the Company had no OREO secured by residential real estate properties.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depict the performance of loans that have been modified in the last twelve months by segment: </w:t>
      </w:r>
    </w:p>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3"/>
        <w:gridCol w:w="565"/>
        <w:gridCol w:w="568"/>
        <w:gridCol w:w="109"/>
        <w:gridCol w:w="109"/>
        <w:gridCol w:w="109"/>
        <w:gridCol w:w="698"/>
        <w:gridCol w:w="695"/>
        <w:gridCol w:w="700"/>
        <w:gridCol w:w="109"/>
        <w:gridCol w:w="109"/>
        <w:gridCol w:w="109"/>
        <w:gridCol w:w="347"/>
        <w:gridCol w:w="347"/>
        <w:gridCol w:w="495"/>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Non-Accrual</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0"/>
        <w:gridCol w:w="565"/>
        <w:gridCol w:w="568"/>
        <w:gridCol w:w="109"/>
        <w:gridCol w:w="109"/>
        <w:gridCol w:w="109"/>
        <w:gridCol w:w="699"/>
        <w:gridCol w:w="696"/>
        <w:gridCol w:w="700"/>
        <w:gridCol w:w="109"/>
        <w:gridCol w:w="109"/>
        <w:gridCol w:w="109"/>
        <w:gridCol w:w="347"/>
        <w:gridCol w:w="347"/>
        <w:gridCol w:w="496"/>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Non-Accrual</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Quality Indicators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categorizes commercial real estate and other commercial loans into risk categories based on relevant information about the ability of borrowers to service their obligations. The following tables present the amortized cost in commercial real estate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 </w:t>
      </w:r>
    </w:p>
    <w:tbl>
      <w:tblPr>
        <w:tblW w:w="10205" w:type="dxa"/>
        <w:jc w:val="center"/>
        <w:tblInd w:w="0" w:type="dxa"/>
        <w:tblLayout w:type="fixed"/>
        <w:tblCellMar>
          <w:top w:w="28" w:type="dxa"/>
          <w:left w:w="28" w:type="dxa"/>
          <w:bottom w:w="28" w:type="dxa"/>
          <w:right w:w="28" w:type="dxa"/>
        </w:tblCellMar>
      </w:tblPr>
      <w:tblGrid>
        <w:gridCol w:w="729"/>
        <w:gridCol w:w="425"/>
        <w:gridCol w:w="427"/>
        <w:gridCol w:w="275"/>
        <w:gridCol w:w="805"/>
        <w:gridCol w:w="143"/>
        <w:gridCol w:w="109"/>
        <w:gridCol w:w="109"/>
        <w:gridCol w:w="109"/>
        <w:gridCol w:w="540"/>
        <w:gridCol w:w="541"/>
        <w:gridCol w:w="181"/>
        <w:gridCol w:w="109"/>
        <w:gridCol w:w="109"/>
        <w:gridCol w:w="109"/>
        <w:gridCol w:w="540"/>
        <w:gridCol w:w="541"/>
        <w:gridCol w:w="151"/>
        <w:gridCol w:w="109"/>
        <w:gridCol w:w="109"/>
        <w:gridCol w:w="109"/>
        <w:gridCol w:w="460"/>
        <w:gridCol w:w="332"/>
        <w:gridCol w:w="333"/>
        <w:gridCol w:w="109"/>
        <w:gridCol w:w="109"/>
        <w:gridCol w:w="109"/>
        <w:gridCol w:w="413"/>
        <w:gridCol w:w="413"/>
        <w:gridCol w:w="371"/>
        <w:gridCol w:w="109"/>
        <w:gridCol w:w="109"/>
        <w:gridCol w:w="109"/>
        <w:gridCol w:w="277"/>
        <w:gridCol w:w="277"/>
        <w:gridCol w:w="396"/>
      </w:tblGrid>
      <w:tr>
        <w:trPr/>
        <w:tc>
          <w:tcPr>
            <w:tcW w:w="72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Doubtful/</w:t>
              <w:br/>
              <w:t>Loss</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(year-to-date)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2,207,649 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1,963,128 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3,400,610 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3,331,689 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10,711,372 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loans</w:t>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(year-to-date)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641,595 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3,121,477 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3,028,205 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71,081 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70"/>
        <w:gridCol w:w="381"/>
        <w:gridCol w:w="382"/>
        <w:gridCol w:w="266"/>
        <w:gridCol w:w="780"/>
        <w:gridCol w:w="139"/>
        <w:gridCol w:w="109"/>
        <w:gridCol w:w="109"/>
        <w:gridCol w:w="109"/>
        <w:gridCol w:w="211"/>
        <w:gridCol w:w="1081"/>
        <w:gridCol w:w="109"/>
        <w:gridCol w:w="109"/>
        <w:gridCol w:w="109"/>
        <w:gridCol w:w="109"/>
        <w:gridCol w:w="540"/>
        <w:gridCol w:w="541"/>
        <w:gridCol w:w="151"/>
        <w:gridCol w:w="109"/>
        <w:gridCol w:w="109"/>
        <w:gridCol w:w="109"/>
        <w:gridCol w:w="484"/>
        <w:gridCol w:w="372"/>
        <w:gridCol w:w="316"/>
        <w:gridCol w:w="109"/>
        <w:gridCol w:w="109"/>
        <w:gridCol w:w="109"/>
        <w:gridCol w:w="413"/>
        <w:gridCol w:w="413"/>
        <w:gridCol w:w="371"/>
        <w:gridCol w:w="109"/>
        <w:gridCol w:w="109"/>
        <w:gridCol w:w="109"/>
        <w:gridCol w:w="277"/>
        <w:gridCol w:w="277"/>
        <w:gridCol w:w="396"/>
      </w:tblGrid>
      <w:tr>
        <w:trPr/>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Doubtful/</w:t>
              <w:br/>
              <w:t>Loss</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1,287,352 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2,307,217 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2,446,084 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10,708,994 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146,146 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loans</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3,034,660 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61,357 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tbl>
      <w:tblPr>
        <w:tblW w:w="10205" w:type="dxa"/>
        <w:jc w:val="center"/>
        <w:tblInd w:w="0" w:type="dxa"/>
        <w:tblLayout w:type="fixed"/>
        <w:tblCellMar>
          <w:top w:w="28" w:type="dxa"/>
          <w:left w:w="28" w:type="dxa"/>
          <w:bottom w:w="28" w:type="dxa"/>
          <w:right w:w="28" w:type="dxa"/>
        </w:tblCellMar>
      </w:tblPr>
      <w:tblGrid>
        <w:gridCol w:w="762"/>
        <w:gridCol w:w="486"/>
        <w:gridCol w:w="487"/>
        <w:gridCol w:w="286"/>
        <w:gridCol w:w="839"/>
        <w:gridCol w:w="149"/>
        <w:gridCol w:w="109"/>
        <w:gridCol w:w="109"/>
        <w:gridCol w:w="109"/>
        <w:gridCol w:w="486"/>
        <w:gridCol w:w="490"/>
        <w:gridCol w:w="181"/>
        <w:gridCol w:w="109"/>
        <w:gridCol w:w="109"/>
        <w:gridCol w:w="109"/>
        <w:gridCol w:w="486"/>
        <w:gridCol w:w="490"/>
        <w:gridCol w:w="336"/>
        <w:gridCol w:w="109"/>
        <w:gridCol w:w="109"/>
        <w:gridCol w:w="109"/>
        <w:gridCol w:w="568"/>
        <w:gridCol w:w="337"/>
        <w:gridCol w:w="339"/>
        <w:gridCol w:w="109"/>
        <w:gridCol w:w="109"/>
        <w:gridCol w:w="109"/>
        <w:gridCol w:w="634"/>
        <w:gridCol w:w="634"/>
        <w:gridCol w:w="907"/>
      </w:tblGrid>
      <w:tr>
        <w:trPr/>
        <w:tc>
          <w:tcPr>
            <w:tcW w:w="76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Non-Accrual and 90 Days or More Past Due</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247,981 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639,552 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439,999 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1,850,079 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1,830,984 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loans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920,132 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909,875 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 loans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(year-to-date)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368,755 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8"/>
        <w:gridCol w:w="484"/>
        <w:gridCol w:w="486"/>
        <w:gridCol w:w="286"/>
        <w:gridCol w:w="838"/>
        <w:gridCol w:w="149"/>
        <w:gridCol w:w="109"/>
        <w:gridCol w:w="109"/>
        <w:gridCol w:w="109"/>
        <w:gridCol w:w="211"/>
        <w:gridCol w:w="976"/>
        <w:gridCol w:w="109"/>
        <w:gridCol w:w="109"/>
        <w:gridCol w:w="109"/>
        <w:gridCol w:w="109"/>
        <w:gridCol w:w="488"/>
        <w:gridCol w:w="488"/>
        <w:gridCol w:w="336"/>
        <w:gridCol w:w="109"/>
        <w:gridCol w:w="109"/>
        <w:gridCol w:w="109"/>
        <w:gridCol w:w="504"/>
        <w:gridCol w:w="336"/>
        <w:gridCol w:w="338"/>
        <w:gridCol w:w="109"/>
        <w:gridCol w:w="109"/>
        <w:gridCol w:w="109"/>
        <w:gridCol w:w="633"/>
        <w:gridCol w:w="633"/>
        <w:gridCol w:w="904"/>
      </w:tblGrid>
      <w:tr>
        <w:trPr/>
        <w:tc>
          <w:tcPr>
            <w:tcW w:w="6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Non-Accrual and 90 Days or More Past Due</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1,844,896 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923,858 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land, premises and equipment from third parties. ROU assets for operating and finance leases are included in right-of-use assets and ROU lease liabilities are included in operating lease liabilities and finance lease liabilities, respectively, on the Company’s statements of financial condition. The following table summarizes the Company’s leases:</w:t>
      </w:r>
    </w:p>
    <w:tbl>
      <w:tblPr>
        <w:tblW w:w="9335" w:type="dxa"/>
        <w:jc w:val="center"/>
        <w:tblInd w:w="0" w:type="dxa"/>
        <w:tblLayout w:type="fixed"/>
        <w:tblCellMar>
          <w:top w:w="28" w:type="dxa"/>
          <w:left w:w="28" w:type="dxa"/>
          <w:bottom w:w="28" w:type="dxa"/>
          <w:right w:w="28" w:type="dxa"/>
        </w:tblCellMar>
      </w:tblPr>
      <w:tblGrid>
        <w:gridCol w:w="1207"/>
        <w:gridCol w:w="1060"/>
        <w:gridCol w:w="1063"/>
        <w:gridCol w:w="211"/>
        <w:gridCol w:w="721"/>
        <w:gridCol w:w="271"/>
        <w:gridCol w:w="109"/>
        <w:gridCol w:w="109"/>
        <w:gridCol w:w="109"/>
        <w:gridCol w:w="360"/>
        <w:gridCol w:w="361"/>
        <w:gridCol w:w="508"/>
        <w:gridCol w:w="109"/>
        <w:gridCol w:w="109"/>
        <w:gridCol w:w="109"/>
        <w:gridCol w:w="396"/>
        <w:gridCol w:w="399"/>
        <w:gridCol w:w="417"/>
        <w:gridCol w:w="139"/>
        <w:gridCol w:w="139"/>
        <w:gridCol w:w="139"/>
        <w:gridCol w:w="360"/>
        <w:gridCol w:w="361"/>
        <w:gridCol w:w="569"/>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br/>
              <w:t>Leases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br/>
              <w:t>Leases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39,244 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39,902 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consist of the following:</w:t>
      </w:r>
    </w:p>
    <w:tbl>
      <w:tblPr>
        <w:tblW w:w="8292" w:type="dxa"/>
        <w:jc w:val="left"/>
        <w:tblInd w:w="0" w:type="dxa"/>
        <w:tblLayout w:type="fixed"/>
        <w:tblCellMar>
          <w:top w:w="28" w:type="dxa"/>
          <w:left w:w="28" w:type="dxa"/>
          <w:bottom w:w="28" w:type="dxa"/>
          <w:right w:w="28" w:type="dxa"/>
        </w:tblCellMar>
      </w:tblPr>
      <w:tblGrid>
        <w:gridCol w:w="2142"/>
        <w:gridCol w:w="1881"/>
        <w:gridCol w:w="1886"/>
        <w:gridCol w:w="211"/>
        <w:gridCol w:w="616"/>
        <w:gridCol w:w="109"/>
        <w:gridCol w:w="109"/>
        <w:gridCol w:w="109"/>
        <w:gridCol w:w="109"/>
        <w:gridCol w:w="360"/>
        <w:gridCol w:w="361"/>
        <w:gridCol w:w="39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br/>
              <w:t>Leases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one year through two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two years through three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three years through four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four years through five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present value of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Difference between lease payments and 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included in other expense on the consolidated statements of operations consist of the following:</w:t>
      </w:r>
    </w:p>
    <w:tbl>
      <w:tblPr>
        <w:tblW w:w="5718" w:type="dxa"/>
        <w:jc w:val="left"/>
        <w:tblInd w:w="0" w:type="dxa"/>
        <w:tblLayout w:type="fixed"/>
        <w:tblCellMar>
          <w:top w:w="28" w:type="dxa"/>
          <w:left w:w="28" w:type="dxa"/>
          <w:bottom w:w="28" w:type="dxa"/>
          <w:right w:w="28" w:type="dxa"/>
        </w:tblCellMar>
      </w:tblPr>
      <w:tblGrid>
        <w:gridCol w:w="859"/>
        <w:gridCol w:w="754"/>
        <w:gridCol w:w="757"/>
        <w:gridCol w:w="109"/>
        <w:gridCol w:w="109"/>
        <w:gridCol w:w="356"/>
        <w:gridCol w:w="356"/>
        <w:gridCol w:w="356"/>
        <w:gridCol w:w="356"/>
        <w:gridCol w:w="359"/>
        <w:gridCol w:w="109"/>
        <w:gridCol w:w="109"/>
        <w:gridCol w:w="109"/>
        <w:gridCol w:w="308"/>
        <w:gridCol w:w="308"/>
        <w:gridCol w:w="40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347"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063"/>
        <w:gridCol w:w="1805"/>
        <w:gridCol w:w="1812"/>
        <w:gridCol w:w="211"/>
        <w:gridCol w:w="466"/>
        <w:gridCol w:w="109"/>
        <w:gridCol w:w="109"/>
        <w:gridCol w:w="109"/>
        <w:gridCol w:w="109"/>
        <w:gridCol w:w="305"/>
        <w:gridCol w:w="305"/>
        <w:gridCol w:w="306"/>
        <w:gridCol w:w="109"/>
        <w:gridCol w:w="109"/>
        <w:gridCol w:w="109"/>
        <w:gridCol w:w="250"/>
        <w:gridCol w:w="250"/>
        <w:gridCol w:w="251"/>
        <w:gridCol w:w="151"/>
        <w:gridCol w:w="151"/>
        <w:gridCol w:w="151"/>
        <w:gridCol w:w="281"/>
        <w:gridCol w:w="281"/>
        <w:gridCol w:w="403"/>
      </w:tblGrid>
      <w:tr>
        <w:trPr/>
        <w:tc>
          <w:tcPr>
            <w:tcW w:w="2063"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5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5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w:t>
              <w:br/>
              <w:t>Leases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w:t>
              <w:br/>
              <w:t>Leases</w:t>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jc w:val="left"/>
        <w:rPr/>
      </w:pPr>
      <w:r>
        <w:rPr/>
      </w:r>
    </w:p>
    <w:tbl>
      <w:tblPr>
        <w:tblW w:w="11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leases office space to third parties through operating leases. Rent income from these leases for the three months ended March 31, 2025, and 2024 was $421,000 and $339,000, respectively, and is recorded in other income within non-interest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discloses the changes in the carrying value of goodwill:</w:t>
      </w:r>
    </w:p>
    <w:tbl>
      <w:tblPr>
        <w:tblW w:w="7509" w:type="dxa"/>
        <w:jc w:val="center"/>
        <w:tblInd w:w="0" w:type="dxa"/>
        <w:tblLayout w:type="fixed"/>
        <w:tblCellMar>
          <w:top w:w="28" w:type="dxa"/>
          <w:left w:w="28" w:type="dxa"/>
          <w:bottom w:w="28" w:type="dxa"/>
          <w:right w:w="28" w:type="dxa"/>
        </w:tblCellMar>
      </w:tblPr>
      <w:tblGrid>
        <w:gridCol w:w="1261"/>
        <w:gridCol w:w="1107"/>
        <w:gridCol w:w="1111"/>
        <w:gridCol w:w="109"/>
        <w:gridCol w:w="109"/>
        <w:gridCol w:w="356"/>
        <w:gridCol w:w="356"/>
        <w:gridCol w:w="678"/>
        <w:gridCol w:w="356"/>
        <w:gridCol w:w="359"/>
        <w:gridCol w:w="109"/>
        <w:gridCol w:w="109"/>
        <w:gridCol w:w="109"/>
        <w:gridCol w:w="488"/>
        <w:gridCol w:w="488"/>
        <w:gridCol w:w="40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707" w:type="dxa"/>
            <w:gridSpan w:val="6"/>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1,051,318 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985,393 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1,051,318 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1,023,762 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during the third quarter of 2024 and determined the fair value of the aggregated reporting units exceeded the carrying value, such that the Company’s goodwill was not considered impaired. Changes in the economic environment, operations of the aggregated reporting units, or other factors could result in the decline in the fair value of the aggregated reporting units which could result in a goodwill impairment in the future. Accumulated impairment charges were $40,159,000 as of March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Loan Servicing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that are serviced for others are not reported as assets,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7093" w:type="dxa"/>
        <w:jc w:val="left"/>
        <w:tblInd w:w="0" w:type="dxa"/>
        <w:tblLayout w:type="fixed"/>
        <w:tblCellMar>
          <w:top w:w="28" w:type="dxa"/>
          <w:left w:w="28" w:type="dxa"/>
          <w:bottom w:w="28" w:type="dxa"/>
          <w:right w:w="28" w:type="dxa"/>
        </w:tblCellMar>
      </w:tblPr>
      <w:tblGrid>
        <w:gridCol w:w="1387"/>
        <w:gridCol w:w="1217"/>
        <w:gridCol w:w="1221"/>
        <w:gridCol w:w="211"/>
        <w:gridCol w:w="976"/>
        <w:gridCol w:w="109"/>
        <w:gridCol w:w="109"/>
        <w:gridCol w:w="109"/>
        <w:gridCol w:w="109"/>
        <w:gridCol w:w="546"/>
        <w:gridCol w:w="430"/>
        <w:gridCol w:w="406"/>
        <w:gridCol w:w="109"/>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balances of loans serviced for others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1,507,439 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servicing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Variable Interest Entities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Variable Interest Entities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W w:w="5146" w:type="dxa"/>
        <w:jc w:val="left"/>
        <w:tblInd w:w="0" w:type="dxa"/>
        <w:tblLayout w:type="fixed"/>
        <w:tblCellMar>
          <w:top w:w="28" w:type="dxa"/>
          <w:left w:w="28" w:type="dxa"/>
          <w:bottom w:w="28" w:type="dxa"/>
          <w:right w:w="28" w:type="dxa"/>
        </w:tblCellMar>
      </w:tblPr>
      <w:tblGrid>
        <w:gridCol w:w="842"/>
        <w:gridCol w:w="740"/>
        <w:gridCol w:w="742"/>
        <w:gridCol w:w="211"/>
        <w:gridCol w:w="826"/>
        <w:gridCol w:w="109"/>
        <w:gridCol w:w="109"/>
        <w:gridCol w:w="109"/>
        <w:gridCol w:w="109"/>
        <w:gridCol w:w="413"/>
        <w:gridCol w:w="413"/>
        <w:gridCol w:w="523"/>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89,909 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Unconsolidated Variable Interest Entities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equity investments in LIHTC partnerships, both directly and through tax credit funds, with carrying values of $202,215,000 and $203,124,000 as of March 31, 2025 and December 31, 2024,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and any unfunded equity commitments in other liabilities. There were no impairment losses on the Company’s LIHTC investments during the three months ended March 31, 2025 and 2024. Future unfunded contingent equity commitments related to the Company’s LIHTC investments at March 31, 2025 are as follows: </w:t>
      </w:r>
    </w:p>
    <w:p>
      <w:pPr>
        <w:pStyle w:val="TextBody"/>
        <w:bidi w:val="0"/>
        <w:spacing w:before="0" w:after="0"/>
        <w:jc w:val="both"/>
        <w:rPr/>
      </w:pPr>
      <w:r>
        <w:rPr/>
      </w:r>
    </w:p>
    <w:tbl>
      <w:tblPr>
        <w:tblW w:w="3425" w:type="dxa"/>
        <w:jc w:val="center"/>
        <w:tblInd w:w="0" w:type="dxa"/>
        <w:tblLayout w:type="fixed"/>
        <w:tblCellMar>
          <w:top w:w="28" w:type="dxa"/>
          <w:left w:w="28" w:type="dxa"/>
          <w:bottom w:w="28" w:type="dxa"/>
          <w:right w:w="28" w:type="dxa"/>
        </w:tblCellMar>
      </w:tblPr>
      <w:tblGrid>
        <w:gridCol w:w="848"/>
        <w:gridCol w:w="744"/>
        <w:gridCol w:w="747"/>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 </w:t>
      </w:r>
    </w:p>
    <w:tbl>
      <w:tblPr>
        <w:tblW w:w="7112" w:type="dxa"/>
        <w:jc w:val="center"/>
        <w:tblInd w:w="0" w:type="dxa"/>
        <w:tblLayout w:type="fixed"/>
        <w:tblCellMar>
          <w:top w:w="28" w:type="dxa"/>
          <w:left w:w="28" w:type="dxa"/>
          <w:bottom w:w="28" w:type="dxa"/>
          <w:right w:w="28" w:type="dxa"/>
        </w:tblCellMar>
      </w:tblPr>
      <w:tblGrid>
        <w:gridCol w:w="1364"/>
        <w:gridCol w:w="1198"/>
        <w:gridCol w:w="1202"/>
        <w:gridCol w:w="109"/>
        <w:gridCol w:w="109"/>
        <w:gridCol w:w="356"/>
        <w:gridCol w:w="356"/>
        <w:gridCol w:w="356"/>
        <w:gridCol w:w="356"/>
        <w:gridCol w:w="359"/>
        <w:gridCol w:w="109"/>
        <w:gridCol w:w="109"/>
        <w:gridCol w:w="109"/>
        <w:gridCol w:w="308"/>
        <w:gridCol w:w="308"/>
        <w:gridCol w:w="40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347"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other tax benefits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owns the following trust subsidiaries, each of which issued trust preferred securities as capital instruments: Glacier Capital Trust II, Glacier Capital Trust III, Glacier Capital Trust IV, Citizens (ID) Statutory Trust I, Bank of the San Juans Bancorporation Trust I, First Company Statutory Trust 2001, First Company Statutory Trust 2003, FNB (UT) Statutory Trust I and FNB (UT) Statutory Trust II.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Securities Sold Under Agreements to Repurchase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value of the Company’s securities sold under agreements to repurchase (“repurchase agreements”) by remaining contractual maturity of the agreements and category of collateral:</w:t>
      </w:r>
    </w:p>
    <w:tbl>
      <w:tblPr>
        <w:tblW w:w="8757" w:type="dxa"/>
        <w:jc w:val="center"/>
        <w:tblInd w:w="0" w:type="dxa"/>
        <w:tblLayout w:type="fixed"/>
        <w:tblCellMar>
          <w:top w:w="28" w:type="dxa"/>
          <w:left w:w="28" w:type="dxa"/>
          <w:bottom w:w="28" w:type="dxa"/>
          <w:right w:w="28" w:type="dxa"/>
        </w:tblCellMar>
      </w:tblPr>
      <w:tblGrid>
        <w:gridCol w:w="1201"/>
        <w:gridCol w:w="1055"/>
        <w:gridCol w:w="1059"/>
        <w:gridCol w:w="317"/>
        <w:gridCol w:w="1470"/>
        <w:gridCol w:w="164"/>
        <w:gridCol w:w="164"/>
        <w:gridCol w:w="1216"/>
        <w:gridCol w:w="109"/>
        <w:gridCol w:w="109"/>
        <w:gridCol w:w="109"/>
        <w:gridCol w:w="109"/>
        <w:gridCol w:w="109"/>
        <w:gridCol w:w="488"/>
        <w:gridCol w:w="488"/>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Overnight and Continuous</w:t>
            </w:r>
          </w:p>
        </w:tc>
        <w:tc>
          <w:tcPr>
            <w:tcW w:w="2111" w:type="dxa"/>
            <w:gridSpan w:val="12"/>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2111" w:type="dxa"/>
            <w:gridSpan w:val="12"/>
            <w:tcBorders/>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repurchase agreements are secured by debt securities with carrying values of $2,197,652,000 and $2,184,627,000 at March 31, 2025 and December 31, 2024,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Flow Hedges</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i/>
          <w:color w:val="000000"/>
          <w:sz w:val="20"/>
        </w:rPr>
        <w:t xml:space="preserve">Interest Rate Cap Derivatives. </w:t>
      </w:r>
      <w:r>
        <w:rPr>
          <w:rFonts w:ascii="Times New Roman;sans-serif" w:hAnsi="Times New Roman;sans-serif"/>
          <w:b w:val="false"/>
          <w:color w:val="000000"/>
          <w:sz w:val="20"/>
        </w:rPr>
        <w:t xml:space="preserve">In 2020, the Company purchased interest rate caps designated as cash flow hedges with notional amounts totaling $130,500,000 on its variable rate subordinated debentures. The interest rate caps, which matured as of March 31, 2025, required receipt of variable amounts from the counterparty when interest rates rose above the strike price in the contracts. The strike prices in the five year term contracts had a range from 1.5 percent to 2 percent. The variable rate was based on 90 days of compounded overnight SOFR plus a spread of 0.26161 percent. At March 31, 2025 and December 31, 2024, the interest rate caps had a fair value of $0 and $720,000, respectively, and were reported as other assets on the Company’s statements of financial condition. Amortization recorded on the interest rate caps totaled $0 and $42,000 for the three months ended March 31, 2025 and 2024, respectively, and was reported as a component of interest expense on subordinated debentures.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cash flow hedge accounting on OCI for the periods ending March 31, 2025 and 2024 was as follows:</w:t>
      </w:r>
    </w:p>
    <w:p>
      <w:pPr>
        <w:pStyle w:val="TextBody"/>
        <w:bidi w:val="0"/>
        <w:spacing w:before="0" w:after="0"/>
        <w:jc w:val="left"/>
        <w:rPr/>
      </w:pPr>
      <w:r>
        <w:rPr/>
      </w:r>
    </w:p>
    <w:tbl>
      <w:tblPr>
        <w:tblW w:w="7675" w:type="dxa"/>
        <w:jc w:val="center"/>
        <w:tblInd w:w="0" w:type="dxa"/>
        <w:tblLayout w:type="fixed"/>
        <w:tblCellMar>
          <w:top w:w="28" w:type="dxa"/>
          <w:left w:w="28" w:type="dxa"/>
          <w:bottom w:w="28" w:type="dxa"/>
          <w:right w:w="28" w:type="dxa"/>
        </w:tblCellMar>
      </w:tblPr>
      <w:tblGrid>
        <w:gridCol w:w="1560"/>
        <w:gridCol w:w="1369"/>
        <w:gridCol w:w="1375"/>
        <w:gridCol w:w="109"/>
        <w:gridCol w:w="109"/>
        <w:gridCol w:w="356"/>
        <w:gridCol w:w="356"/>
        <w:gridCol w:w="356"/>
        <w:gridCol w:w="356"/>
        <w:gridCol w:w="359"/>
        <w:gridCol w:w="109"/>
        <w:gridCol w:w="109"/>
        <w:gridCol w:w="109"/>
        <w:gridCol w:w="354"/>
        <w:gridCol w:w="285"/>
        <w:gridCol w:w="404"/>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370" w:type="dxa"/>
            <w:gridSpan w:val="6"/>
            <w:tcBorders/>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of (loss) gain recognized in 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 reclassified from OCI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 Hedges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i/>
          <w:color w:val="000000"/>
          <w:sz w:val="20"/>
        </w:rPr>
        <w:t>Interest Rate Swap Agreements.</w:t>
      </w:r>
      <w:r>
        <w:rPr>
          <w:color w:val="000000"/>
        </w:rPr>
        <w:t xml:space="preserve"> </w:t>
      </w:r>
      <w:r>
        <w:rPr>
          <w:rFonts w:ascii="Times New Roman;sans-serif" w:hAnsi="Times New Roman;sans-serif"/>
          <w:b w:val="false"/>
          <w:color w:val="000000"/>
          <w:sz w:val="20"/>
        </w:rPr>
        <w:t xml:space="preserve">The Company entered into fair value hedges for a closed pool of fixed rate debt securities. The instruments are designated as fair value hedges as the changes in the fair value of the interest rate swap are expected to offset changes in the fair value of the hedged item attributable to changes in the compounded overnight secured overnight financing (“SOFR”) rate, the designated benchmark interest rate. These derivative contracts involve the receipt of floating rate interest from a counterparty in exchange for the Company making fixed-rate payments over the life of the contract, without the exchange of the underlying notional value.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the Company terminated the existing fair value hedges for $19,825,000. This basis adjustment to the carrying cost of the closed pool will be amortized over the remaining life of the securities in the closed pool. Subsequent to the termination, the Company entered into new fair value hedges that better protected the Company from the risk of changes to the overnight SOFR rate.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notional and estimated fair value amount of derivative positions outstanding: </w:t>
      </w:r>
    </w:p>
    <w:tbl>
      <w:tblPr>
        <w:tblW w:w="10205" w:type="dxa"/>
        <w:jc w:val="left"/>
        <w:tblInd w:w="0" w:type="dxa"/>
        <w:tblLayout w:type="fixed"/>
        <w:tblCellMar>
          <w:top w:w="28" w:type="dxa"/>
          <w:left w:w="28" w:type="dxa"/>
          <w:bottom w:w="28" w:type="dxa"/>
          <w:right w:w="28" w:type="dxa"/>
        </w:tblCellMar>
      </w:tblPr>
      <w:tblGrid>
        <w:gridCol w:w="641"/>
        <w:gridCol w:w="469"/>
        <w:gridCol w:w="471"/>
        <w:gridCol w:w="226"/>
        <w:gridCol w:w="1048"/>
        <w:gridCol w:w="116"/>
        <w:gridCol w:w="109"/>
        <w:gridCol w:w="109"/>
        <w:gridCol w:w="109"/>
        <w:gridCol w:w="259"/>
        <w:gridCol w:w="761"/>
        <w:gridCol w:w="135"/>
        <w:gridCol w:w="109"/>
        <w:gridCol w:w="109"/>
        <w:gridCol w:w="109"/>
        <w:gridCol w:w="370"/>
        <w:gridCol w:w="712"/>
        <w:gridCol w:w="192"/>
        <w:gridCol w:w="109"/>
        <w:gridCol w:w="109"/>
        <w:gridCol w:w="109"/>
        <w:gridCol w:w="439"/>
        <w:gridCol w:w="439"/>
        <w:gridCol w:w="440"/>
        <w:gridCol w:w="109"/>
        <w:gridCol w:w="109"/>
        <w:gridCol w:w="109"/>
        <w:gridCol w:w="312"/>
        <w:gridCol w:w="312"/>
        <w:gridCol w:w="313"/>
        <w:gridCol w:w="109"/>
        <w:gridCol w:w="109"/>
        <w:gridCol w:w="109"/>
        <w:gridCol w:w="255"/>
        <w:gridCol w:w="256"/>
        <w:gridCol w:w="404"/>
      </w:tblGrid>
      <w:tr>
        <w:trPr/>
        <w:tc>
          <w:tcPr>
            <w:tcW w:w="6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Liability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 Rate</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1"/>
        <w:gridCol w:w="469"/>
        <w:gridCol w:w="471"/>
        <w:gridCol w:w="226"/>
        <w:gridCol w:w="1048"/>
        <w:gridCol w:w="116"/>
        <w:gridCol w:w="109"/>
        <w:gridCol w:w="109"/>
        <w:gridCol w:w="109"/>
        <w:gridCol w:w="259"/>
        <w:gridCol w:w="761"/>
        <w:gridCol w:w="135"/>
        <w:gridCol w:w="109"/>
        <w:gridCol w:w="109"/>
        <w:gridCol w:w="109"/>
        <w:gridCol w:w="370"/>
        <w:gridCol w:w="712"/>
        <w:gridCol w:w="192"/>
        <w:gridCol w:w="109"/>
        <w:gridCol w:w="109"/>
        <w:gridCol w:w="109"/>
        <w:gridCol w:w="439"/>
        <w:gridCol w:w="439"/>
        <w:gridCol w:w="440"/>
        <w:gridCol w:w="109"/>
        <w:gridCol w:w="109"/>
        <w:gridCol w:w="109"/>
        <w:gridCol w:w="312"/>
        <w:gridCol w:w="312"/>
        <w:gridCol w:w="313"/>
        <w:gridCol w:w="109"/>
        <w:gridCol w:w="109"/>
        <w:gridCol w:w="109"/>
        <w:gridCol w:w="255"/>
        <w:gridCol w:w="256"/>
        <w:gridCol w:w="404"/>
      </w:tblGrid>
      <w:tr>
        <w:trPr/>
        <w:tc>
          <w:tcPr>
            <w:tcW w:w="6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Liability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 Rate</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amounts were recorded on the consolidated statements of financial condition related to cumulative basis adjustments for fair value hedges for the respective periods: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3"/>
        <w:gridCol w:w="723"/>
        <w:gridCol w:w="686"/>
        <w:gridCol w:w="109"/>
        <w:gridCol w:w="109"/>
        <w:gridCol w:w="109"/>
        <w:gridCol w:w="214"/>
        <w:gridCol w:w="991"/>
        <w:gridCol w:w="110"/>
        <w:gridCol w:w="110"/>
        <w:gridCol w:w="110"/>
        <w:gridCol w:w="110"/>
        <w:gridCol w:w="214"/>
        <w:gridCol w:w="991"/>
        <w:gridCol w:w="110"/>
        <w:gridCol w:w="109"/>
        <w:gridCol w:w="109"/>
        <w:gridCol w:w="109"/>
        <w:gridCol w:w="354"/>
        <w:gridCol w:w="1117"/>
        <w:gridCol w:w="182"/>
        <w:gridCol w:w="182"/>
        <w:gridCol w:w="182"/>
        <w:gridCol w:w="182"/>
        <w:gridCol w:w="354"/>
        <w:gridCol w:w="1117"/>
        <w:gridCol w:w="269"/>
      </w:tblGrid>
      <w:tr>
        <w:trPr/>
        <w:tc>
          <w:tcPr>
            <w:tcW w:w="124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Amortized Cost of Fair Value Hedging Included in the Carrying Amount of the Hedged Assets </w:t>
            </w:r>
          </w:p>
        </w:tc>
      </w:tr>
      <w:tr>
        <w:trPr/>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item on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2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3,242,878 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effects of the fair value hedge relationships on the consolidated statements of operations were as follows: </w:t>
      </w:r>
    </w:p>
    <w:tbl>
      <w:tblPr>
        <w:tblW w:w="10121" w:type="dxa"/>
        <w:jc w:val="left"/>
        <w:tblInd w:w="0" w:type="dxa"/>
        <w:tblLayout w:type="fixed"/>
        <w:tblCellMar>
          <w:top w:w="28" w:type="dxa"/>
          <w:left w:w="28" w:type="dxa"/>
          <w:bottom w:w="28" w:type="dxa"/>
          <w:right w:w="28" w:type="dxa"/>
        </w:tblCellMar>
      </w:tblPr>
      <w:tblGrid>
        <w:gridCol w:w="1006"/>
        <w:gridCol w:w="883"/>
        <w:gridCol w:w="886"/>
        <w:gridCol w:w="1119"/>
        <w:gridCol w:w="1119"/>
        <w:gridCol w:w="1122"/>
        <w:gridCol w:w="109"/>
        <w:gridCol w:w="109"/>
        <w:gridCol w:w="158"/>
        <w:gridCol w:w="158"/>
        <w:gridCol w:w="306"/>
        <w:gridCol w:w="1004"/>
        <w:gridCol w:w="158"/>
        <w:gridCol w:w="109"/>
        <w:gridCol w:w="109"/>
        <w:gridCol w:w="109"/>
        <w:gridCol w:w="464"/>
        <w:gridCol w:w="464"/>
        <w:gridCol w:w="466"/>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984" w:type="dxa"/>
            <w:gridSpan w:val="8"/>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Location of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income on 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income on 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Residential Real Estate Derivatives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residential real estate derivatives for commitments (“interest rate locks”) to fund certain residential real estate loans to be sold into the secondary market. At March 31, 2025 and December 31, 2024, loan commitments with interest rate lock commitments totaled $53,839,000 and $22,977,000, respectively. At March 31, 2025 and December 31, 2024, the fair value of the related derivatives on the interest rate lock commitments was $1,057,000 and $410,000, respectively, and was included in other assets with corresponding changes recorded in gain on sale of loans. The Company enters into free-standing derivatives to mitigate interest rate risk for most residential real estate loans to be sold. These derivatives include forward commitments to sell to-be-announced (“TBA”) securities which are used to economically hedge the interest rate risk associated with such loans and unfunded commitments. At March 31, 2025 and December 31, 2024, TBA commitments were $36,750,000 and $29,000,000, respectively. At March 31, 2025, the fair value of the related derivatives on the TBA securities was $377,000 and was included in other liabilities with corresponding changes recorded in gain on sale of loans. At December 31, 2024, the fair value of the related derivatives on the TBA securities was $169,000, and was included in other assets with corresponding changes recorded in gain on sale of loans. The Company does not enter into a commitment to sell these loans to an investor until the loan is funded and is ready to be delivered to the investor. Due to the forward sales commitments being short-term in nature, the corresponding derivatives are not significant.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hedge relationships until the loan is funded.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Other Expenses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consists of the following:</w:t>
      </w:r>
    </w:p>
    <w:tbl>
      <w:tblPr>
        <w:tblW w:w="7472" w:type="dxa"/>
        <w:jc w:val="left"/>
        <w:tblInd w:w="0" w:type="dxa"/>
        <w:tblLayout w:type="fixed"/>
        <w:tblCellMar>
          <w:top w:w="28" w:type="dxa"/>
          <w:left w:w="28" w:type="dxa"/>
          <w:bottom w:w="28" w:type="dxa"/>
          <w:right w:w="28" w:type="dxa"/>
        </w:tblCellMar>
      </w:tblPr>
      <w:tblGrid>
        <w:gridCol w:w="1457"/>
        <w:gridCol w:w="1279"/>
        <w:gridCol w:w="1283"/>
        <w:gridCol w:w="109"/>
        <w:gridCol w:w="109"/>
        <w:gridCol w:w="154"/>
        <w:gridCol w:w="154"/>
        <w:gridCol w:w="299"/>
        <w:gridCol w:w="1022"/>
        <w:gridCol w:w="154"/>
        <w:gridCol w:w="109"/>
        <w:gridCol w:w="109"/>
        <w:gridCol w:w="109"/>
        <w:gridCol w:w="359"/>
        <w:gridCol w:w="362"/>
        <w:gridCol w:w="40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452" w:type="dxa"/>
            <w:gridSpan w:val="6"/>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Debit card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 amortization and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and audit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Printing and supplies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dispositions of premises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Accumulated Other Comprehensive Loss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activity within accumulated other comprehensive loss by component, net of tax: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40"/>
        <w:gridCol w:w="985"/>
        <w:gridCol w:w="940"/>
        <w:gridCol w:w="524"/>
        <w:gridCol w:w="2092"/>
        <w:gridCol w:w="271"/>
        <w:gridCol w:w="109"/>
        <w:gridCol w:w="109"/>
        <w:gridCol w:w="109"/>
        <w:gridCol w:w="729"/>
        <w:gridCol w:w="729"/>
        <w:gridCol w:w="732"/>
        <w:gridCol w:w="109"/>
        <w:gridCol w:w="109"/>
        <w:gridCol w:w="109"/>
        <w:gridCol w:w="428"/>
        <w:gridCol w:w="430"/>
        <w:gridCol w:w="251"/>
      </w:tblGrid>
      <w:tr>
        <w:trPr/>
        <w:tc>
          <w:tcPr>
            <w:tcW w:w="14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(Losses) Gains on Available-For-Sale and Transferred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(Losses) Gains on Derivatives Used for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losses and transfers included in net income</w:t>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amortization included in net income for transferred securities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2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(372,305)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2025</w:t>
            </w:r>
          </w:p>
        </w:tc>
        <w:tc>
          <w:tcPr>
            <w:tcW w:w="5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(309,836)</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(309,296)</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losses and transfers included in net income</w:t>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amortization included in net income for transferred securities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2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5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(263,111)</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(263,111)</w:t>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Earnings Per Share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has been computed based on the following:</w:t>
      </w:r>
    </w:p>
    <w:tbl>
      <w:tblPr>
        <w:tblW w:w="10205" w:type="dxa"/>
        <w:jc w:val="center"/>
        <w:tblInd w:w="0" w:type="dxa"/>
        <w:tblLayout w:type="fixed"/>
        <w:tblCellMar>
          <w:top w:w="28" w:type="dxa"/>
          <w:left w:w="28" w:type="dxa"/>
          <w:bottom w:w="28" w:type="dxa"/>
          <w:right w:w="28" w:type="dxa"/>
        </w:tblCellMar>
      </w:tblPr>
      <w:tblGrid>
        <w:gridCol w:w="2369"/>
        <w:gridCol w:w="2011"/>
        <w:gridCol w:w="2026"/>
        <w:gridCol w:w="109"/>
        <w:gridCol w:w="109"/>
        <w:gridCol w:w="140"/>
        <w:gridCol w:w="140"/>
        <w:gridCol w:w="299"/>
        <w:gridCol w:w="980"/>
        <w:gridCol w:w="140"/>
        <w:gridCol w:w="109"/>
        <w:gridCol w:w="109"/>
        <w:gridCol w:w="109"/>
        <w:gridCol w:w="592"/>
        <w:gridCol w:w="594"/>
        <w:gridCol w:w="369"/>
      </w:tblGrid>
      <w:tr>
        <w:trPr/>
        <w:tc>
          <w:tcPr>
            <w:tcW w:w="236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882" w:type="dxa"/>
            <w:gridSpan w:val="6"/>
            <w:tcBorders/>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113,451,199 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112,492,142 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Add: dilutive restricted stock units and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113,546,365 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112,554,402 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pPr>
            <w:r>
              <w:rPr>
                <w:rFonts w:ascii="Times New Roman;sans-serif" w:hAnsi="Times New Roman;sans-serif"/>
                <w:b w:val="false"/>
                <w:color w:val="000000"/>
                <w:sz w:val="20"/>
              </w:rPr>
              <w:t xml:space="preserve">Restricted stock units and stock options excluded from the diluted average outstanding share calculation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73,900 </w:t>
            </w:r>
          </w:p>
        </w:tc>
        <w:tc>
          <w:tcPr>
            <w:tcW w:w="1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139,840 </w:t>
            </w:r>
          </w:p>
        </w:tc>
        <w:tc>
          <w:tcPr>
            <w:tcW w:w="3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ind w:left="0" w:right="0" w:hanging="9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Anti-dilution occurs when the unrecognized compensation cost per share of a restricted stock unit or the exercise price of a stock option exceeds the market price of the Company’s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Fair Value of Assets and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pStyle w:val="TextBody"/>
        <w:bidi w:val="0"/>
        <w:spacing w:before="0" w:after="0"/>
        <w:jc w:val="left"/>
        <w:rPr/>
      </w:pPr>
      <w:r>
        <w:rPr/>
      </w:r>
    </w:p>
    <w:p>
      <w:pPr>
        <w:pStyle w:val="TextBody"/>
        <w:bidi w:val="0"/>
        <w:spacing w:lineRule="auto" w:line="288" w:before="12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88" w:before="12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Transfers in and out of Level 1 (quoted prices in active markets), Level 2 (significant other observable inputs) and Level 3 (significant unobservable inputs) are recognized on the actual transfer date. There were no transfers between fair value hierarchy levels during the three month periods ended March 31, 2025 and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Recurring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Debt securities, available-for-sal</w:t>
      </w:r>
      <w:r>
        <w:rPr>
          <w:rFonts w:ascii="Times New Roman;sans-serif" w:hAnsi="Times New Roman;sans-serif"/>
          <w:b w:val="false"/>
          <w:color w:val="000000"/>
          <w:sz w:val="20"/>
        </w:rPr>
        <w:t>e. The fair value for available-for-sale debt securities is estimated by obtaining quoted market prices for identical assets, where 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inputs are not available, such securities are classified as Level 3 within the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determinations of available-for-sale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Loans held for sale, at fair value.</w:t>
      </w:r>
      <w:r>
        <w:rPr>
          <w:color w:val="000000"/>
        </w:rPr>
        <w:t xml:space="preserve"> </w:t>
      </w:r>
      <w:r>
        <w:rPr>
          <w:rFonts w:ascii="Times New Roman;sans-serif" w:hAnsi="Times New Roman;sans-serif"/>
          <w:b w:val="false"/>
          <w:color w:val="000000"/>
          <w:sz w:val="20"/>
        </w:rPr>
        <w:t>Loans held for sale measured at fair value, for which an active secondary market and readily available market prices 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$374,000 and $46,000 for the three month periods ended March 31, 2025 and 2024,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Loan interest rate lock commitments. </w:t>
      </w:r>
      <w:r>
        <w:rPr>
          <w:rFonts w:ascii="Times New Roman;sans-serif" w:hAnsi="Times New Roman;sans-serif"/>
          <w:b w:val="false"/>
          <w:color w:val="000000"/>
          <w:sz w:val="20"/>
        </w:rPr>
        <w:t xml:space="preserve">Fair value estimates for loan interest rate lock commitments are based upon the estimated sales price, origination fees, direct costs, interest rate changes, etc. and are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Forward commitments to sell TBA securities. </w:t>
      </w:r>
      <w:r>
        <w:rPr>
          <w:rFonts w:ascii="Times New Roman;sans-serif" w:hAnsi="Times New Roman;sans-serif"/>
          <w:b w:val="false"/>
          <w:color w:val="000000"/>
          <w:sz w:val="20"/>
        </w:rPr>
        <w:t xml:space="preserve">Forward commitments to sell TBA securities are used to economically hedge the interest rate risk associated with certain loan commitments. The fair 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Interest rate cap derivative financial instruments.</w:t>
      </w:r>
      <w:r>
        <w:rPr>
          <w:color w:val="000000"/>
        </w:rPr>
        <w:t xml:space="preserve"> </w:t>
      </w:r>
      <w:r>
        <w:rPr>
          <w:rFonts w:ascii="Times New Roman;sans-serif" w:hAnsi="Times New Roman;sans-serif"/>
          <w:b w:val="false"/>
          <w:color w:val="000000"/>
          <w:sz w:val="20"/>
        </w:rPr>
        <w:t>Fair value estimates for interest rate cap derivative financial instruments are based upon the discounted cash flows of known payments plus the option value of each caplet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Interest rate swap derivative financial instruments.</w:t>
      </w:r>
      <w:r>
        <w:rPr>
          <w:color w:val="000000"/>
        </w:rPr>
        <w:t xml:space="preserve"> </w:t>
      </w:r>
      <w:r>
        <w:rPr>
          <w:rFonts w:ascii="Times New Roman;sans-serif" w:hAnsi="Times New Roman;sans-serif"/>
          <w:b w:val="false"/>
          <w:color w:val="000000"/>
          <w:sz w:val="20"/>
        </w:rPr>
        <w:t>Fair value estimates for interest rate swap derivative financial instruments are based upon the estimated amounts to settle the contracts considering 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disclose the fair value measurement of assets and liabilities measured at fair value on a recurring basis: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57"/>
        <w:gridCol w:w="1029"/>
        <w:gridCol w:w="1034"/>
        <w:gridCol w:w="220"/>
        <w:gridCol w:w="1021"/>
        <w:gridCol w:w="113"/>
        <w:gridCol w:w="109"/>
        <w:gridCol w:w="109"/>
        <w:gridCol w:w="109"/>
        <w:gridCol w:w="441"/>
        <w:gridCol w:w="441"/>
        <w:gridCol w:w="443"/>
        <w:gridCol w:w="179"/>
        <w:gridCol w:w="179"/>
        <w:gridCol w:w="179"/>
        <w:gridCol w:w="488"/>
        <w:gridCol w:w="488"/>
        <w:gridCol w:w="341"/>
        <w:gridCol w:w="179"/>
        <w:gridCol w:w="179"/>
        <w:gridCol w:w="179"/>
        <w:gridCol w:w="373"/>
        <w:gridCol w:w="373"/>
        <w:gridCol w:w="542"/>
      </w:tblGrid>
      <w:tr>
        <w:trPr/>
        <w:tc>
          <w:tcPr>
            <w:tcW w:w="145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  Markets</w:t>
              <w:br/>
              <w:t>for Identical</w:t>
              <w:br/>
              <w:t>Assets</w:t>
              <w:br/>
              <w:t>(Level 1)</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472,122 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2,278,421 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2,278,421 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1,025,692 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on a recurring basis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4,219,022 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4,219,022 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hedge</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measured at fair value on a recurring basis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861"/>
        <w:gridCol w:w="865"/>
        <w:gridCol w:w="316"/>
        <w:gridCol w:w="1467"/>
        <w:gridCol w:w="163"/>
        <w:gridCol w:w="109"/>
        <w:gridCol w:w="109"/>
        <w:gridCol w:w="109"/>
        <w:gridCol w:w="420"/>
        <w:gridCol w:w="420"/>
        <w:gridCol w:w="421"/>
        <w:gridCol w:w="169"/>
        <w:gridCol w:w="169"/>
        <w:gridCol w:w="169"/>
        <w:gridCol w:w="488"/>
        <w:gridCol w:w="488"/>
        <w:gridCol w:w="341"/>
        <w:gridCol w:w="169"/>
        <w:gridCol w:w="169"/>
        <w:gridCol w:w="169"/>
        <w:gridCol w:w="373"/>
        <w:gridCol w:w="373"/>
        <w:gridCol w:w="537"/>
      </w:tblGrid>
      <w:tr>
        <w:trPr/>
        <w:tc>
          <w:tcPr>
            <w:tcW w:w="13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  Markets</w:t>
              <w:br/>
              <w:t>for Identical</w:t>
              <w:br/>
              <w:t>Assets</w:t>
              <w:br/>
              <w:t>(Level 1)</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hedge</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 on a recurring basis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4,288,851 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4,288,851 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Non-recurring Measurements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 real estate owned.</w:t>
      </w:r>
      <w:r>
        <w:rPr>
          <w:color w:val="000000"/>
        </w:rPr>
        <w:t xml:space="preserve"> </w:t>
      </w:r>
      <w:r>
        <w:rPr>
          <w:rFonts w:ascii="Times New Roman;sans-serif" w:hAnsi="Times New Roman;sans-serif"/>
          <w:b w:val="false"/>
          <w:color w:val="000000"/>
          <w:sz w:val="20"/>
        </w:rPr>
        <w:t>OREO is initially recorded at fair value less estimated cost to sell, establishing a new cost basis. OREO is subsequently accounted for at lower of cost or fair value less estimated cost to sell. Estimated fair value of OREO is based on appraisals or evaluations (new or updated). OREO is classified within Level 3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Collateral-dependent loans, net of ACL.</w:t>
      </w:r>
      <w:r>
        <w:rPr>
          <w:color w:val="000000"/>
        </w:rPr>
        <w:t xml:space="preserve"> </w:t>
      </w:r>
      <w:r>
        <w:rPr>
          <w:rFonts w:ascii="Times New Roman;sans-serif" w:hAnsi="Times New Roman;sans-serif"/>
          <w:b w:val="false"/>
          <w:color w:val="000000"/>
          <w:sz w:val="20"/>
        </w:rPr>
        <w:t>Fair value estimates of collateral-dependent loans that are individually reviewed are based on the fair value of the collateral, less estimated cost to sell. Collateral-dependent individually reviewed loans are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disclose the fair value measurement of assets with a recorded change during the period resulting from re-measuring the assets at fair value on a non-recurring basis:</w:t>
      </w:r>
    </w:p>
    <w:tbl>
      <w:tblPr>
        <w:tblW w:w="10205" w:type="dxa"/>
        <w:jc w:val="center"/>
        <w:tblInd w:w="0" w:type="dxa"/>
        <w:tblLayout w:type="fixed"/>
        <w:tblCellMar>
          <w:top w:w="28" w:type="dxa"/>
          <w:left w:w="28" w:type="dxa"/>
          <w:bottom w:w="28" w:type="dxa"/>
          <w:right w:w="28" w:type="dxa"/>
        </w:tblCellMar>
      </w:tblPr>
      <w:tblGrid>
        <w:gridCol w:w="1309"/>
        <w:gridCol w:w="1149"/>
        <w:gridCol w:w="1155"/>
        <w:gridCol w:w="292"/>
        <w:gridCol w:w="855"/>
        <w:gridCol w:w="150"/>
        <w:gridCol w:w="109"/>
        <w:gridCol w:w="109"/>
        <w:gridCol w:w="109"/>
        <w:gridCol w:w="485"/>
        <w:gridCol w:w="485"/>
        <w:gridCol w:w="487"/>
        <w:gridCol w:w="201"/>
        <w:gridCol w:w="201"/>
        <w:gridCol w:w="201"/>
        <w:gridCol w:w="340"/>
        <w:gridCol w:w="340"/>
        <w:gridCol w:w="341"/>
        <w:gridCol w:w="201"/>
        <w:gridCol w:w="201"/>
        <w:gridCol w:w="201"/>
        <w:gridCol w:w="373"/>
        <w:gridCol w:w="373"/>
        <w:gridCol w:w="538"/>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3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  Markets</w:t>
              <w:br/>
              <w:t>for Identical</w:t>
              <w:br/>
              <w:t>Assets</w:t>
              <w:br/>
              <w:t>(Level 1)</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Collateral-dependent impaired loans, net of ACL</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on a non-recurring basis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67"/>
        <w:gridCol w:w="1024"/>
        <w:gridCol w:w="1029"/>
        <w:gridCol w:w="437"/>
        <w:gridCol w:w="1276"/>
        <w:gridCol w:w="225"/>
        <w:gridCol w:w="109"/>
        <w:gridCol w:w="109"/>
        <w:gridCol w:w="109"/>
        <w:gridCol w:w="444"/>
        <w:gridCol w:w="444"/>
        <w:gridCol w:w="445"/>
        <w:gridCol w:w="181"/>
        <w:gridCol w:w="181"/>
        <w:gridCol w:w="181"/>
        <w:gridCol w:w="340"/>
        <w:gridCol w:w="340"/>
        <w:gridCol w:w="341"/>
        <w:gridCol w:w="181"/>
        <w:gridCol w:w="181"/>
        <w:gridCol w:w="181"/>
        <w:gridCol w:w="373"/>
        <w:gridCol w:w="373"/>
        <w:gridCol w:w="53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  Markets</w:t>
              <w:br/>
              <w:t>for Identical</w:t>
              <w:br/>
              <w:t>Assets</w:t>
              <w:br/>
              <w:t>(Level 1)</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Collateral-dependent impaired loans, net of ACL</w:t>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on a non-recurring basis</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Non-recurring Measurements Using Significant Unobservable Inputs (Level 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additional quantitative information about assets measured at fair value on a non-recurring basis and for which the Company has utilized Level 3 inputs to determine fair value: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66"/>
        <w:gridCol w:w="672"/>
        <w:gridCol w:w="677"/>
        <w:gridCol w:w="266"/>
        <w:gridCol w:w="777"/>
        <w:gridCol w:w="137"/>
        <w:gridCol w:w="109"/>
        <w:gridCol w:w="109"/>
        <w:gridCol w:w="109"/>
        <w:gridCol w:w="611"/>
        <w:gridCol w:w="576"/>
        <w:gridCol w:w="537"/>
        <w:gridCol w:w="239"/>
        <w:gridCol w:w="239"/>
        <w:gridCol w:w="239"/>
        <w:gridCol w:w="495"/>
        <w:gridCol w:w="495"/>
        <w:gridCol w:w="496"/>
        <w:gridCol w:w="239"/>
        <w:gridCol w:w="239"/>
        <w:gridCol w:w="239"/>
        <w:gridCol w:w="564"/>
        <w:gridCol w:w="564"/>
        <w:gridCol w:w="811"/>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Quantitative Information about Level 3 Fair Value Measurements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Valuation Technique</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Unobservable Input</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Range</w:t>
            </w:r>
          </w:p>
          <w:p>
            <w:pPr>
              <w:pStyle w:val="TableContents"/>
              <w:bidi w:val="0"/>
              <w:spacing w:lineRule="auto" w:line="240" w:before="0" w:after="0"/>
              <w:jc w:val="center"/>
              <w:rPr/>
            </w:pPr>
            <w:r>
              <w:rPr>
                <w:rFonts w:ascii="Times New Roman;sans-serif" w:hAnsi="Times New Roman;sans-serif"/>
                <w:b w:val="false"/>
                <w:color w:val="000000"/>
                <w:sz w:val="20"/>
              </w:rPr>
              <w:t xml:space="preserve">(Weighted-Average) </w:t>
            </w:r>
            <w:r>
              <w:rPr>
                <w:rFonts w:ascii="Times New Roman;sans-serif" w:hAnsi="Times New Roman;sans-serif"/>
                <w:b w:val="false"/>
                <w:color w:val="000000"/>
                <w:sz w:val="13"/>
              </w:rPr>
              <w:t>1</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Collateral-dependent</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impaired loans, net of ACL</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approach</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- 10.0% (10.0%)</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comparison approach</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- 20.0% (12.7%)</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approach</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- 10.0% (10.0%)</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4"/>
        <w:gridCol w:w="802"/>
        <w:gridCol w:w="808"/>
        <w:gridCol w:w="332"/>
        <w:gridCol w:w="971"/>
        <w:gridCol w:w="171"/>
        <w:gridCol w:w="109"/>
        <w:gridCol w:w="109"/>
        <w:gridCol w:w="109"/>
        <w:gridCol w:w="541"/>
        <w:gridCol w:w="491"/>
        <w:gridCol w:w="435"/>
        <w:gridCol w:w="189"/>
        <w:gridCol w:w="189"/>
        <w:gridCol w:w="189"/>
        <w:gridCol w:w="462"/>
        <w:gridCol w:w="462"/>
        <w:gridCol w:w="464"/>
        <w:gridCol w:w="189"/>
        <w:gridCol w:w="189"/>
        <w:gridCol w:w="189"/>
        <w:gridCol w:w="550"/>
        <w:gridCol w:w="550"/>
        <w:gridCol w:w="791"/>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Quantitative Information about Level 3 Fair Value Measurements</w:t>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Valuation Technique</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Unobservable Input</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Range</w:t>
            </w:r>
          </w:p>
          <w:p>
            <w:pPr>
              <w:pStyle w:val="TableContents"/>
              <w:bidi w:val="0"/>
              <w:spacing w:lineRule="auto" w:line="240" w:before="0" w:after="0"/>
              <w:jc w:val="center"/>
              <w:rPr/>
            </w:pPr>
            <w:r>
              <w:rPr>
                <w:rFonts w:ascii="Times New Roman;sans-serif" w:hAnsi="Times New Roman;sans-serif"/>
                <w:b w:val="false"/>
                <w:color w:val="000000"/>
                <w:sz w:val="20"/>
              </w:rPr>
              <w:t xml:space="preserve">(Weighted-Average) </w:t>
            </w:r>
            <w:r>
              <w:rPr>
                <w:rFonts w:ascii="Times New Roman;sans-serif" w:hAnsi="Times New Roman;sans-serif"/>
                <w:b w:val="false"/>
                <w:color w:val="000000"/>
                <w:sz w:val="13"/>
              </w:rPr>
              <w:t>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Collateral-dependent impaired loans, net of ACL</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- 10.0% (10.0%)</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comparison approach</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- 20.0% (15.9%)</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- 10.0% (10.0%)</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The range for selling cost inputs represents reductions to the fair value of the assets.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 of Financial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There have been no significant changes in the valuation techniques during the period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Cash and cash equivalents</w:t>
      </w:r>
      <w:r>
        <w:rPr>
          <w:rFonts w:ascii="Times New Roman;sans-serif" w:hAnsi="Times New Roman;sans-serif"/>
          <w:b w:val="false"/>
          <w:color w:val="000000"/>
          <w:sz w:val="20"/>
        </w:rPr>
        <w:t>. Fair value is estimated at book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Debt securities, held-to-maturity</w:t>
      </w:r>
      <w:r>
        <w:rPr>
          <w:rFonts w:ascii="Times New Roman;sans-serif" w:hAnsi="Times New Roman;sans-serif"/>
          <w:b w:val="false"/>
          <w:color w:val="000000"/>
          <w:sz w:val="20"/>
        </w:rPr>
        <w:t>. Fair value for held-to-maturity debt securities is estimated in the same manner as available-for sale debt securities, which is described above.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Loans receivable, net of ACL</w:t>
      </w:r>
      <w:r>
        <w:rPr>
          <w:rFonts w:ascii="Times New Roman;sans-serif" w:hAnsi="Times New Roman;sans-serif"/>
          <w:b w:val="false"/>
          <w:color w:val="000000"/>
          <w:sz w:val="20"/>
        </w:rPr>
        <w:t xml:space="preserve">. The loans are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Term Deposits</w:t>
      </w:r>
      <w:r>
        <w:rPr>
          <w:rFonts w:ascii="Times New Roman;sans-serif" w:hAnsi="Times New Roman;sans-serif"/>
          <w:b w:val="false"/>
          <w:color w:val="000000"/>
          <w:sz w:val="20"/>
        </w:rPr>
        <w:t xml:space="preserve">. Fair value of term deposits is estimated by discounting the future cash flows using rates of similar deposits with similar maturities. The market rates used are obtained from an independent third party based on current rates offered by the Company’s regional competitors.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FHLB advances. </w:t>
      </w:r>
      <w:r>
        <w:rPr>
          <w:rFonts w:ascii="Times New Roman;sans-serif" w:hAnsi="Times New Roman;sans-serif"/>
          <w:b w:val="false"/>
          <w:color w:val="000000"/>
          <w:sz w:val="20"/>
        </w:rPr>
        <w:t xml:space="preserve">Fair value of advances is estimated based on borrowing rates currently available to the Company for advances with similar terms and maturities.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Repurchase agreements and other borrowed funds</w:t>
      </w:r>
      <w:r>
        <w:rPr>
          <w:rFonts w:ascii="Times New Roman;sans-serif" w:hAnsi="Times New Roman;sans-serif"/>
          <w:b w:val="false"/>
          <w:color w:val="000000"/>
          <w:sz w:val="20"/>
        </w:rPr>
        <w:t>. 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Subordinated debentures</w:t>
      </w:r>
      <w:r>
        <w:rPr>
          <w:rFonts w:ascii="Times New Roman;sans-serif" w:hAnsi="Times New Roman;sans-serif"/>
          <w:b w:val="false"/>
          <w:color w:val="000000"/>
          <w:sz w:val="20"/>
        </w:rPr>
        <w:t>. Fair value of the subordinated debt is estimated by discounting the estimated future cash flows using current estimated market rates obtained from an independent third party.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Off-balance sheet financial instrument</w:t>
      </w:r>
      <w:r>
        <w:rPr>
          <w:rFonts w:ascii="Times New Roman;sans-serif" w:hAnsi="Times New Roman;sans-serif"/>
          <w:b w:val="false"/>
          <w:color w:val="000000"/>
          <w:sz w:val="20"/>
        </w:rPr>
        <w:t>s. 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83"/>
        <w:gridCol w:w="849"/>
        <w:gridCol w:w="851"/>
        <w:gridCol w:w="235"/>
        <w:gridCol w:w="1210"/>
        <w:gridCol w:w="121"/>
        <w:gridCol w:w="109"/>
        <w:gridCol w:w="109"/>
        <w:gridCol w:w="109"/>
        <w:gridCol w:w="459"/>
        <w:gridCol w:w="455"/>
        <w:gridCol w:w="454"/>
        <w:gridCol w:w="221"/>
        <w:gridCol w:w="221"/>
        <w:gridCol w:w="221"/>
        <w:gridCol w:w="488"/>
        <w:gridCol w:w="488"/>
        <w:gridCol w:w="341"/>
        <w:gridCol w:w="221"/>
        <w:gridCol w:w="221"/>
        <w:gridCol w:w="221"/>
        <w:gridCol w:w="540"/>
        <w:gridCol w:w="541"/>
        <w:gridCol w:w="537"/>
      </w:tblGrid>
      <w:tr>
        <w:trPr/>
        <w:tc>
          <w:tcPr>
            <w:tcW w:w="9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w:t>
              <w:br/>
              <w:t>Markets for</w:t>
              <w:br/>
              <w:t>Identical Assets</w:t>
              <w:br/>
              <w:t>(Level 1)</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held-to-maturity</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2,953,423 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 of ACL</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17,030,076 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21,251,178 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2,953,423 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17,030,076 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5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3,140,333 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3,172,931 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1,520,969 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other borrowed funds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1,931,513 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6,724,991 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6,748,059 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7"/>
        <w:gridCol w:w="630"/>
        <w:gridCol w:w="631"/>
        <w:gridCol w:w="369"/>
        <w:gridCol w:w="1896"/>
        <w:gridCol w:w="191"/>
        <w:gridCol w:w="109"/>
        <w:gridCol w:w="109"/>
        <w:gridCol w:w="109"/>
        <w:gridCol w:w="459"/>
        <w:gridCol w:w="422"/>
        <w:gridCol w:w="391"/>
        <w:gridCol w:w="179"/>
        <w:gridCol w:w="179"/>
        <w:gridCol w:w="179"/>
        <w:gridCol w:w="488"/>
        <w:gridCol w:w="488"/>
        <w:gridCol w:w="341"/>
        <w:gridCol w:w="179"/>
        <w:gridCol w:w="179"/>
        <w:gridCol w:w="179"/>
        <w:gridCol w:w="540"/>
        <w:gridCol w:w="541"/>
        <w:gridCol w:w="540"/>
      </w:tblGrid>
      <w:tr>
        <w:trPr/>
        <w:tc>
          <w:tcPr>
            <w:tcW w:w="8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br/>
              <w:t>At the End of the Reporting Period Using</w:t>
            </w:r>
          </w:p>
        </w:tc>
      </w:tr>
      <w:tr>
        <w:trPr/>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w:t>
              <w:br/>
              <w:t>Markets for</w:t>
              <w:br/>
              <w:t>Identical Assets</w:t>
              <w:br/>
              <w:t>(Level 1)</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Other</w:t>
              <w:br/>
              <w:t>Observable</w:t>
              <w:br/>
              <w:t>Inputs</w:t>
              <w:br/>
              <w:t>(Level 2)</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2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held-to-maturity</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2,968,570 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 of ACL</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17,017,298 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21,199,063 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2,968,570 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17,017,298 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2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3,176,722 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20"/>
              </w:rPr>
              <w:t>other borrowed funds</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1,860,816 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1,860,816 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6,933,742 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6,957,633 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30, 2025, the Company completed the acquisition of Bank of Idaho Holding Co. (“BOID”) and its wholly-owned subsidiary, Bank of Idaho, a community bank based in Idaho Falls, Idaho (collectively, “BOI”). The acquisition resulted in the Company issuing 5,029,137 shares of its common stock to former BOID shareholders. BOI provides banking services to individuals and businesses throughout Idaho and Eastern Washington. As of March 31, 2025, BOI had total assets of $1,302,301,000, gross loans of $1,069,103,000 and total deposits of $1,091,847,000. The Bank of Idaho operations will be combined with three existing Glacier Bank division. The Eastern Idaho operations of Bank of Idaho will join Citizens Community Bank, the Boise operations will join Mountain West Bank and the Eastern Washington operations will join Wheatland Bank. The combined operations will begin to operate under the existing division names in the third quarter of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2024 Annual Report on Form 10-K, could cause actual results to differ materially from the anticipated results (express or implied) or other expectations in the forward-looking statements: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legislative or regulatory changes, including increased FDIC insurance rates and assessments, changes in the review and regulation of bank mergers, or increased banking and consumer protection regulations, that may adversely affect the Company’s business and strategies;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related to overall economic conditions, including the impact on the economy of an uncertain interest rate environment, inflationary pressures, and the potential for significant changes in economic and trade policies in the new administration;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to our business and the businesses of our customers arising from current or future tariffs or other trade restrictions, labor or supply chain issues, changes in the labor force, or geopolitical instability, including the wars in Ukraine and the Middle East;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associated with the Company’s ability to negotiate, complete, and successfully integrate any pending or future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or difficulties related to the completion and integration of pending or future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the competitive landscape, including as may result from new market entrants or further consolidation in the financial services industry, resulting in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dependence on the Chief Executive Officer (“CEO), the senior management team and the Presidents of Glacier Bank’s (the “Bank”) divisions;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success in managing risks involved in any of the foregoing;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effects of any reputational damage to the Company resulting from any of the foregoing.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Form 10-Q. The Company does not undertake any obligation to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Financial Highlights </w:t>
      </w:r>
    </w:p>
    <w:tbl>
      <w:tblPr>
        <w:tblW w:w="9006" w:type="dxa"/>
        <w:jc w:val="left"/>
        <w:tblInd w:w="0" w:type="dxa"/>
        <w:tblLayout w:type="fixed"/>
        <w:tblCellMar>
          <w:top w:w="28" w:type="dxa"/>
          <w:left w:w="28" w:type="dxa"/>
          <w:bottom w:w="28" w:type="dxa"/>
          <w:right w:w="28" w:type="dxa"/>
        </w:tblCellMar>
      </w:tblPr>
      <w:tblGrid>
        <w:gridCol w:w="1454"/>
        <w:gridCol w:w="1280"/>
        <w:gridCol w:w="1286"/>
        <w:gridCol w:w="211"/>
        <w:gridCol w:w="721"/>
        <w:gridCol w:w="271"/>
        <w:gridCol w:w="109"/>
        <w:gridCol w:w="109"/>
        <w:gridCol w:w="109"/>
        <w:gridCol w:w="405"/>
        <w:gridCol w:w="406"/>
        <w:gridCol w:w="400"/>
        <w:gridCol w:w="109"/>
        <w:gridCol w:w="109"/>
        <w:gridCol w:w="109"/>
        <w:gridCol w:w="405"/>
        <w:gridCol w:w="406"/>
        <w:gridCol w:w="408"/>
        <w:gridCol w:w="109"/>
        <w:gridCol w:w="109"/>
        <w:gridCol w:w="109"/>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per share and market data)</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per share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ratios and other data</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common stock shares outstanding</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113,388,590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basic</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113,398,213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112,492,142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outstanding shares - diluted</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113,546,365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112,554,402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assets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Return on average equity </w:t>
              <w:br/>
              <w:t>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to deposit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Number of full time equivalent employees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locations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ATMs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reported net income of $54.6 million for the current quarter, a decrease of $7.2 million, or 12 percent from the prior quarter net income of $61.8 million and an increase of $21.9 million, or 67 percent, from the $32.6 million of net income for the prior year first quarter. Diluted earnings per share for the current quarter was $0.48 per share, a decrease of 11 percent from the prior quarter diluted earnings per share of $0.54 per share and an increase of 65 percent from the prior year first quarter diluted earnings per share of $0.29.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13, 2025, the Company announced the signing of a definitive agreement to acquire BOID with 15 branches across eastern Idaho, Boise and eastern Washington. As of March 31, 2025, BOID had total assets of $1.3 billion, total loans of $1.1 billion and total deposits of $1.1 billion. The acquisition of BOID was completed on April 30, 2025. The former BOID operations will be combined with three existing Glacier Bank divisions. The Eastern Idaho operations of Bank of Idaho will join Citizens Community Bank, the Boise operations will join Mountain West Bank and the Eastern Washington operations will join Wheatland Bank.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Analysis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assets as of the dates indicated:</w:t>
      </w:r>
    </w:p>
    <w:tbl>
      <w:tblPr>
        <w:tblW w:w="10205" w:type="dxa"/>
        <w:jc w:val="left"/>
        <w:tblInd w:w="0" w:type="dxa"/>
        <w:tblLayout w:type="fixed"/>
        <w:tblCellMar>
          <w:top w:w="28" w:type="dxa"/>
          <w:left w:w="28" w:type="dxa"/>
          <w:bottom w:w="28" w:type="dxa"/>
          <w:right w:w="28" w:type="dxa"/>
        </w:tblCellMar>
      </w:tblPr>
      <w:tblGrid>
        <w:gridCol w:w="843"/>
        <w:gridCol w:w="656"/>
        <w:gridCol w:w="658"/>
        <w:gridCol w:w="211"/>
        <w:gridCol w:w="1081"/>
        <w:gridCol w:w="109"/>
        <w:gridCol w:w="109"/>
        <w:gridCol w:w="109"/>
        <w:gridCol w:w="109"/>
        <w:gridCol w:w="540"/>
        <w:gridCol w:w="541"/>
        <w:gridCol w:w="216"/>
        <w:gridCol w:w="109"/>
        <w:gridCol w:w="109"/>
        <w:gridCol w:w="109"/>
        <w:gridCol w:w="540"/>
        <w:gridCol w:w="541"/>
        <w:gridCol w:w="219"/>
        <w:gridCol w:w="109"/>
        <w:gridCol w:w="109"/>
        <w:gridCol w:w="109"/>
        <w:gridCol w:w="109"/>
        <w:gridCol w:w="109"/>
        <w:gridCol w:w="438"/>
        <w:gridCol w:w="439"/>
        <w:gridCol w:w="216"/>
        <w:gridCol w:w="131"/>
        <w:gridCol w:w="131"/>
        <w:gridCol w:w="131"/>
        <w:gridCol w:w="438"/>
        <w:gridCol w:w="439"/>
        <w:gridCol w:w="219"/>
        <w:gridCol w:w="109"/>
        <w:gridCol w:w="160"/>
      </w:tblGrid>
      <w:tr>
        <w:trPr/>
        <w:tc>
          <w:tcPr>
            <w:tcW w:w="84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269" w:type="dxa"/>
            <w:gridSpan w:val="2"/>
            <w:tcBorders/>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848,408 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788,660 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4,629,073 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(456,761)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held-to-maturity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7,540,052 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8,080,656 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(106,165)</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(646,769)</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1,752,514 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10,963,713 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10,672,269 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3,030,608 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16,732,502 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17,055,808 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16,533,723 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(47,690)</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474,395 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2,458,719 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2,419,131 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(23,330)</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27,858,879 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27,902,987 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27,822,170 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(44,108)</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maintain a strong cash position of $981 million at March 31, 2025 which was an increase of $133 million over the prior quarter and an increase of $193 million over the prior year first quarter. Total debt securities of $7.434 billion at March 31, 2025 decreased $106 million, or 1 percent, during the current quarter and decreased $647 million, or 8 percent, from the prior year first quarter. Debt securities represented 27 percent of total assets at both March 31, 2025 and December 31, 2024, compared to 29 percent at March 31,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portfolio of $17.219 billion at March 31, 2025 decreased $43 million, or 25 basis points, during the current quarter and increased $486 million, or 3 percent, from the prior year first quarter. Excluding the Rocky Mountain Bank (“RMB”) acquisition on July 19, 2024, the loan portfolio organically increased $214 million, or 1 percent, since the prior year first quarter. Excluding the RMB acquisition, the loan category with the largest dollar increase in the last twelve months was commercial real estate, which increased $159 million, or 1 percent, since the prior year first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liabilities as of the dates indicated:</w:t>
      </w:r>
    </w:p>
    <w:tbl>
      <w:tblPr>
        <w:tblW w:w="10205" w:type="dxa"/>
        <w:jc w:val="left"/>
        <w:tblInd w:w="0" w:type="dxa"/>
        <w:tblLayout w:type="fixed"/>
        <w:tblCellMar>
          <w:top w:w="28" w:type="dxa"/>
          <w:left w:w="28" w:type="dxa"/>
          <w:bottom w:w="28" w:type="dxa"/>
          <w:right w:w="28" w:type="dxa"/>
        </w:tblCellMar>
      </w:tblPr>
      <w:tblGrid>
        <w:gridCol w:w="979"/>
        <w:gridCol w:w="644"/>
        <w:gridCol w:w="647"/>
        <w:gridCol w:w="211"/>
        <w:gridCol w:w="1081"/>
        <w:gridCol w:w="109"/>
        <w:gridCol w:w="109"/>
        <w:gridCol w:w="109"/>
        <w:gridCol w:w="109"/>
        <w:gridCol w:w="540"/>
        <w:gridCol w:w="541"/>
        <w:gridCol w:w="201"/>
        <w:gridCol w:w="109"/>
        <w:gridCol w:w="109"/>
        <w:gridCol w:w="109"/>
        <w:gridCol w:w="540"/>
        <w:gridCol w:w="541"/>
        <w:gridCol w:w="203"/>
        <w:gridCol w:w="109"/>
        <w:gridCol w:w="109"/>
        <w:gridCol w:w="109"/>
        <w:gridCol w:w="109"/>
        <w:gridCol w:w="109"/>
        <w:gridCol w:w="431"/>
        <w:gridCol w:w="432"/>
        <w:gridCol w:w="201"/>
        <w:gridCol w:w="123"/>
        <w:gridCol w:w="123"/>
        <w:gridCol w:w="123"/>
        <w:gridCol w:w="430"/>
        <w:gridCol w:w="433"/>
        <w:gridCol w:w="203"/>
        <w:gridCol w:w="109"/>
        <w:gridCol w:w="161"/>
      </w:tblGrid>
      <w:tr>
        <w:trPr/>
        <w:tc>
          <w:tcPr>
            <w:tcW w:w="9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270" w:type="dxa"/>
            <w:gridSpan w:val="2"/>
            <w:tcBorders/>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6,055,069 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NOW and DDA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5,543,512 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5,376,605 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299,572 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2,949,908 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2,878,213 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3,039,190 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20,543,379 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20,423,714 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20,546,994 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20,427,523 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1,540,008 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2,140,157 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(620,157)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132,984 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24,679,133 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24,711,463 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(107,862)</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(140,192)</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deposits of $20.634 billion at March 31, 2025 increased $87.1 million, or 2 percent annualized, from the prior quarter and increased $207 million, or 1 percent, from the prior year first quarter. Total repurchase agreements of $1.849 billion at March 31, 2025 increased $71.6 million, or 4 percent, from the prior quarter and increased $309 million, or 20 percent, from the prior year first quarter. Total deposits organically decreased $190 million, or 1 percent, from the prior year first quarter and total deposits and repurchase agreements organically increased $115 million, or 52 basis points, from the prior year first quarter. Non-interest bearing deposits represented 30 percent of total deposits at March 31, 2025, December 31, 2024, and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Home Loan Bank (“FHLB”) advances of $1.520 billion decreased $280 million, or 16 percent, from the prior quarter and decreased $620 million, or 29 percent, from the prior year first quarter. See “Additional Management’s Discussion and Analysis - Source of Funds - Borrowers” for additional information regarding borrowings.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Stockholders’ Equity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stockholders’ equity balances as of the dates indicated:</w:t>
      </w:r>
    </w:p>
    <w:tbl>
      <w:tblPr>
        <w:tblW w:w="10205" w:type="dxa"/>
        <w:jc w:val="left"/>
        <w:tblInd w:w="0" w:type="dxa"/>
        <w:tblLayout w:type="fixed"/>
        <w:tblCellMar>
          <w:top w:w="28" w:type="dxa"/>
          <w:left w:w="28" w:type="dxa"/>
          <w:bottom w:w="28" w:type="dxa"/>
          <w:right w:w="28" w:type="dxa"/>
        </w:tblCellMar>
      </w:tblPr>
      <w:tblGrid>
        <w:gridCol w:w="1056"/>
        <w:gridCol w:w="746"/>
        <w:gridCol w:w="748"/>
        <w:gridCol w:w="211"/>
        <w:gridCol w:w="976"/>
        <w:gridCol w:w="109"/>
        <w:gridCol w:w="109"/>
        <w:gridCol w:w="109"/>
        <w:gridCol w:w="109"/>
        <w:gridCol w:w="511"/>
        <w:gridCol w:w="513"/>
        <w:gridCol w:w="213"/>
        <w:gridCol w:w="109"/>
        <w:gridCol w:w="109"/>
        <w:gridCol w:w="109"/>
        <w:gridCol w:w="511"/>
        <w:gridCol w:w="513"/>
        <w:gridCol w:w="216"/>
        <w:gridCol w:w="109"/>
        <w:gridCol w:w="109"/>
        <w:gridCol w:w="109"/>
        <w:gridCol w:w="109"/>
        <w:gridCol w:w="109"/>
        <w:gridCol w:w="383"/>
        <w:gridCol w:w="386"/>
        <w:gridCol w:w="213"/>
        <w:gridCol w:w="129"/>
        <w:gridCol w:w="129"/>
        <w:gridCol w:w="129"/>
        <w:gridCol w:w="412"/>
        <w:gridCol w:w="414"/>
        <w:gridCol w:w="216"/>
        <w:gridCol w:w="109"/>
        <w:gridCol w:w="163"/>
      </w:tblGrid>
      <w:tr>
        <w:trPr/>
        <w:tc>
          <w:tcPr>
            <w:tcW w:w="10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272"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 except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3,468,333 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3,483,012 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3,223,854 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3,110,707 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core deposit intangible,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Tangible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2,121,354 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2,040,899 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60"/>
        <w:gridCol w:w="1370"/>
        <w:gridCol w:w="1373"/>
        <w:gridCol w:w="211"/>
        <w:gridCol w:w="616"/>
        <w:gridCol w:w="271"/>
        <w:gridCol w:w="109"/>
        <w:gridCol w:w="109"/>
        <w:gridCol w:w="109"/>
        <w:gridCol w:w="308"/>
        <w:gridCol w:w="308"/>
        <w:gridCol w:w="271"/>
        <w:gridCol w:w="109"/>
        <w:gridCol w:w="109"/>
        <w:gridCol w:w="109"/>
        <w:gridCol w:w="308"/>
        <w:gridCol w:w="308"/>
        <w:gridCol w:w="271"/>
        <w:gridCol w:w="109"/>
        <w:gridCol w:w="109"/>
        <w:gridCol w:w="109"/>
        <w:gridCol w:w="109"/>
        <w:gridCol w:w="109"/>
        <w:gridCol w:w="255"/>
        <w:gridCol w:w="256"/>
        <w:gridCol w:w="109"/>
        <w:gridCol w:w="109"/>
        <w:gridCol w:w="109"/>
        <w:gridCol w:w="109"/>
        <w:gridCol w:w="255"/>
        <w:gridCol w:w="256"/>
        <w:gridCol w:w="109"/>
        <w:gridCol w:w="109"/>
        <w:gridCol w:w="155"/>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to total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Tangible stockholders’ equity to total 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Book value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stockholders’ equity of $2.188 billion at March 31, 2025 increased $67.0 million, or 3 percent, compared to the prior quarter and was primarily the result of a decrease in unrealized loss on the available-for-sale debt securities and earnings retention. Tangible stockholders’ equity at March 31, 2025 increased $147 million, or 7 percent, compared to the prior year first quarter and was primarily due to the decrease in unrealized loss on the available-for-sale debt securities and earnings retention. The increase was partially offset by the increase in goodwill and core deposits associated with the RMB acquisition. Tangible book value per common share of $19.28 at the current quarter end increased $0.57 per share, or 3 percent, from the prior quarter and increased $1.28 per share, or 7 percent, from the prior year first quarter.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2025, the Company’s Board of Directors declared a quarterly cash dividend of $0.33 per share. The dividend was payable April 17, 2025 to shareholders of record on April 8, 2025. The dividend was the Company’s 160th consecutive regular dividend. Future cash dividends will depend on a variety of factors, including net income, capital, asset quality, general economic conditions and regulatory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Results for Three Months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Compared to December 31, 2024, and March 31,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Summary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income for the periods indicated: </w:t>
      </w:r>
    </w:p>
    <w:tbl>
      <w:tblPr>
        <w:tblW w:w="10119" w:type="dxa"/>
        <w:jc w:val="center"/>
        <w:tblInd w:w="0" w:type="dxa"/>
        <w:tblLayout w:type="fixed"/>
        <w:tblCellMar>
          <w:top w:w="28" w:type="dxa"/>
          <w:left w:w="28" w:type="dxa"/>
          <w:bottom w:w="28" w:type="dxa"/>
          <w:right w:w="28" w:type="dxa"/>
        </w:tblCellMar>
      </w:tblPr>
      <w:tblGrid>
        <w:gridCol w:w="1114"/>
        <w:gridCol w:w="978"/>
        <w:gridCol w:w="983"/>
        <w:gridCol w:w="262"/>
        <w:gridCol w:w="264"/>
        <w:gridCol w:w="557"/>
        <w:gridCol w:w="109"/>
        <w:gridCol w:w="109"/>
        <w:gridCol w:w="109"/>
        <w:gridCol w:w="255"/>
        <w:gridCol w:w="256"/>
        <w:gridCol w:w="435"/>
        <w:gridCol w:w="109"/>
        <w:gridCol w:w="109"/>
        <w:gridCol w:w="109"/>
        <w:gridCol w:w="255"/>
        <w:gridCol w:w="256"/>
        <w:gridCol w:w="435"/>
        <w:gridCol w:w="109"/>
        <w:gridCol w:w="185"/>
        <w:gridCol w:w="185"/>
        <w:gridCol w:w="185"/>
        <w:gridCol w:w="185"/>
        <w:gridCol w:w="344"/>
        <w:gridCol w:w="346"/>
        <w:gridCol w:w="245"/>
        <w:gridCol w:w="109"/>
        <w:gridCol w:w="109"/>
        <w:gridCol w:w="109"/>
        <w:gridCol w:w="396"/>
        <w:gridCol w:w="399"/>
        <w:gridCol w:w="246"/>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1631" w:type="dxa"/>
            <w:gridSpan w:val="8"/>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279,402</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112,922</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interest income</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166,480</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and other fees</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18,563</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loan fees and charges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investments</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29,989</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196,469</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 (tax-equivalent)</w:t>
            </w:r>
          </w:p>
        </w:tc>
        <w:tc>
          <w:tcPr>
            <w:tcW w:w="5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5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of $190 million for the current quarter decreased $1.5 million, or 1 percent, from the prior quarter net interest income of $191 million and increased $23.5 million, or 14 percent, from the prior year first quarter net interest income of $166 million. The current quarter interest income of $290 million decreased $7.1 million, or 2 percent, over the prior quarter and was primarily driven by fewer days in the current quarter coupled with decreased average interest-bearing cash balances. The current quarter interest income increased $10.5 million, or 4 percent, over the prior year first quarter primarily due to the increase in the loan yields and the increase in average balances of the loan portfolio. The loan yield of 5.77 percent in the current quarter increased 5 basis points from the prior quarter loan yield of 5.72 percent and increased 31 basis points from the prior year first quarter loan yield of 5.46 percent.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quarter interest expense of $99.9 million decreased $5.6 million, or 5 percent, over the prior quarter and was primarily attributable to a decrease in deposit costs. The current quarter interest expense decreased $13.0 million, or 11 percent, over the prior year first quarter and was primarily the result of lower average wholesale borrowings and a decrease in deposit costs. Core deposit cost (including non-interest bearing deposits) was 1.25 percent for the current quarter compared to 1.29 percent in the prior quarter and 1.34 percent for the prior year first quarter. The total cost of funding (including non-interest bearing deposits) of 1.68 percent in the current quarter decreased 3 basis points from the prior quarter and decreased 16 basis point from the prior year first quarter.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interest margin as a percentage of earning assets, on a tax-equivalent basis, for the current quarter was 3.04 percent, an increase of 7 basis points from the prior quarter net interest margin of 2.97 percent and was primarily driven by an increase in loan yields and a decrease in total cost of funding. The net interest margin as a percentage of earning assets, on a tax-equivalent basis, for the current quarter was an increase of 45 basis points from the prior year first quarter net interest margin of 2.59 percent and was primarily driven by the increase in loan yields and the decrease in core deposit cost. Core net interest margin excludes the impact from discount accretion and non-accrual interest. Excluding the 5 basis points from discount accretion, the core net interest margin was 2.99 percent in the current quarter compared to 2.97 percent in the prior quarter and 2.59 in the prior year first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Non-interest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for the current quarter totaled $32.6 million, which was an increase of $1.1 million, or 3 percent, over the prior quarter and an increase of $2.7 million, or 9 percent, over the prior year first quarter. Service charges and other fees of $18.8 million for the current quarter decreased $1.5 million, or 7 percent, compared to the prior quarter and increased $255 thousand, or 1 percent, compared to the prior year first quarter. Gain on the sale of residential loans of $4.3 million for the current quarter increased $385 thousand, or 10 percent, compared to the prior quarter and increased $949 thousand, or 28 percent, from the prior year first quarter. Other income of $4.8 million increased $2.1 million, or 75 percent, over the prior quarter primarily due to other income of $1.1 million related to bank owned life insurance proceeds coupled with an increase in income from equity investments and other one-time adjustments. Other income increased $1.2 million, or 32 percent, over the prior year first quarter primarily due to the current quarter proceeds from bank owned life insurance.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Non-interest Expense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00"/>
        <w:gridCol w:w="948"/>
        <w:gridCol w:w="940"/>
        <w:gridCol w:w="211"/>
        <w:gridCol w:w="826"/>
        <w:gridCol w:w="109"/>
        <w:gridCol w:w="109"/>
        <w:gridCol w:w="109"/>
        <w:gridCol w:w="109"/>
        <w:gridCol w:w="412"/>
        <w:gridCol w:w="414"/>
        <w:gridCol w:w="233"/>
        <w:gridCol w:w="109"/>
        <w:gridCol w:w="109"/>
        <w:gridCol w:w="109"/>
        <w:gridCol w:w="412"/>
        <w:gridCol w:w="414"/>
        <w:gridCol w:w="238"/>
        <w:gridCol w:w="109"/>
        <w:gridCol w:w="178"/>
        <w:gridCol w:w="178"/>
        <w:gridCol w:w="178"/>
        <w:gridCol w:w="178"/>
        <w:gridCol w:w="360"/>
        <w:gridCol w:w="361"/>
        <w:gridCol w:w="235"/>
        <w:gridCol w:w="109"/>
        <w:gridCol w:w="109"/>
        <w:gridCol w:w="109"/>
        <w:gridCol w:w="340"/>
        <w:gridCol w:w="342"/>
        <w:gridCol w:w="238"/>
        <w:gridCol w:w="109"/>
        <w:gridCol w:w="161"/>
      </w:tblGrid>
      <w:tr>
        <w:trPr/>
        <w:tc>
          <w:tcPr>
            <w:tcW w:w="11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1517" w:type="dxa"/>
            <w:gridSpan w:val="8"/>
            <w:tcBorders/>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140,965 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517" w:type="dxa"/>
            <w:gridSpan w:val="8"/>
            <w:tcBorders/>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 of $151 million for the current quarter increased $10.4 million, or 7 percent, over the prior quarter and decreased $525 thousand, or 35 basis points, over the prior year first quarter. Compensation and employee benefits of $91.4 million increased by $9.8 million, or 12 percent, over the prior quarter, primarily due to increased performance-related compensation. Compensation and employee benefits increased $5.6 million, or 7 percent, from the prior year first quarter, primarily driven by annual salary increases and increases in staffing levels from prior year acquisitions. Regulatory assessment and insurance expense of $5.5 million decreased $2.2 million from the prior year first quarter as a result of adjustments to the FDIC special assessment.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of $25.4 million increased $59 thousand, or 23 basis points, from the prior quarter. Other expenses decreased $5.1 million, or 17 percent, from the prior year first quarter, and was primarily driven by a decrease in acquisition-related expense. Acquisition-related expense was $587 thousand in the current quarter compared to $491 thousand in the prior quarter and $5.7 million in the prior year first quarter. The current quarter other expenses included $1.2 million of gain from the sale of a former branch facility compared to a $2.1 million gain in the prior quarter and a $989 thousand gain in the prior year first quarter.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Efficiency Ratio</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efficiency ratio was 65.49 percent in the current quarter compared to 60.50 percent in the prior quarter and 74.41 percent in the prior year first quarter. The increase from the prior quarter was principally driven by the decrease in net interest income combined with an increase in non-interest expense. The decrease from the prior year first quarter was principally due to the increase in net interest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Provision for Credit Losses for Loans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provision for credit losses for loans, net charge-offs and select ratios relating to provision for credit losses for the previous eight quarters: </w:t>
      </w:r>
    </w:p>
    <w:tbl>
      <w:tblPr>
        <w:tblW w:w="10205" w:type="dxa"/>
        <w:jc w:val="left"/>
        <w:tblInd w:w="0" w:type="dxa"/>
        <w:tblLayout w:type="fixed"/>
        <w:tblCellMar>
          <w:top w:w="28" w:type="dxa"/>
          <w:left w:w="28" w:type="dxa"/>
          <w:bottom w:w="28" w:type="dxa"/>
          <w:right w:w="28" w:type="dxa"/>
        </w:tblCellMar>
      </w:tblPr>
      <w:tblGrid>
        <w:gridCol w:w="476"/>
        <w:gridCol w:w="418"/>
        <w:gridCol w:w="420"/>
        <w:gridCol w:w="458"/>
        <w:gridCol w:w="1339"/>
        <w:gridCol w:w="236"/>
        <w:gridCol w:w="109"/>
        <w:gridCol w:w="109"/>
        <w:gridCol w:w="109"/>
        <w:gridCol w:w="285"/>
        <w:gridCol w:w="836"/>
        <w:gridCol w:w="149"/>
        <w:gridCol w:w="109"/>
        <w:gridCol w:w="109"/>
        <w:gridCol w:w="109"/>
        <w:gridCol w:w="277"/>
        <w:gridCol w:w="255"/>
        <w:gridCol w:w="638"/>
        <w:gridCol w:w="109"/>
        <w:gridCol w:w="109"/>
        <w:gridCol w:w="109"/>
        <w:gridCol w:w="281"/>
        <w:gridCol w:w="281"/>
        <w:gridCol w:w="699"/>
        <w:gridCol w:w="109"/>
        <w:gridCol w:w="109"/>
        <w:gridCol w:w="109"/>
        <w:gridCol w:w="375"/>
        <w:gridCol w:w="375"/>
        <w:gridCol w:w="109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on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Allowance for</w:t>
              <w:br/>
              <w:t>Credit Losses</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Non-Performing</w:t>
              <w:br/>
              <w:t>Assets to</w:t>
              <w:br/>
              <w:t>Total Sub-sidiary Assets</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2024</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2024</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2023</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 2023</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for the current quarter were $1.8 million compared to $5.2 million in the prior quarter and $3.1 million for the prior year first quarter. The current quarter net charge-offs included $1.9 million in deposit overdraft net charge-offs and $78 thousand of net loan recoveries.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quarter credit loss expense of $7.8 million included $6.2 million of provision for credit losses on loans and $1.7 million of provision for credit losses on unfunded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on loans (“ACL” or “allowance”) as a percentage of total loans outstanding at March 31, 2025, was 1.22 percent compared to 1.19 percent at year end and the prior year first quarter end. Loan portfolio growth, composition, average loan size, credit quality considerations, economic forecasts, actual results, and other environmental factors will continue to determine the level of the provision for credit losses for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ADDITIONAL MANAGEMENT’S DISCUSSION AND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Activity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securities primarily consist of debt securities classified as either available-for-sale or held-to-maturity. Non-marketable equity securities primarily consist of capital stock issued by the FHLB of Des Moines.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classified as available-for-sale are carried at estimated fair value and debt securities classified as held-to-maturity are carried at amortized cost. Unrealized gains or losses, net of tax, on available-for-sale debt securities are reflected as an adjustment to other comprehensive income. The Company’s debt securities are summarized below:</w:t>
      </w:r>
    </w:p>
    <w:tbl>
      <w:tblPr>
        <w:tblW w:w="10205" w:type="dxa"/>
        <w:jc w:val="center"/>
        <w:tblInd w:w="0" w:type="dxa"/>
        <w:tblLayout w:type="fixed"/>
        <w:tblCellMar>
          <w:top w:w="28" w:type="dxa"/>
          <w:left w:w="28" w:type="dxa"/>
          <w:bottom w:w="28" w:type="dxa"/>
          <w:right w:w="28" w:type="dxa"/>
        </w:tblCellMar>
      </w:tblPr>
      <w:tblGrid>
        <w:gridCol w:w="717"/>
        <w:gridCol w:w="630"/>
        <w:gridCol w:w="572"/>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45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2,278,421 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2,677,651 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4,172,312 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4,629,073 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w:t>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3,294,847 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3,451,583 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7,433,887 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7,540,052 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8,080,656 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Nationally Recognized Statistical Rating Organizations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stratifies the state and local government securities by the associated NRSRO ratings. The highest issued rating was used to categorize the securities in the table for those securities where the NRSRO ratings were not at the same level.</w:t>
      </w:r>
    </w:p>
    <w:tbl>
      <w:tblPr>
        <w:tblW w:w="10106"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1,207,309 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1,046,083 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 securities largely consist of general obligation and revenue bonds. The following table stratifies the state and local government securities by the associated security type.</w:t>
      </w:r>
    </w:p>
    <w:tbl>
      <w:tblPr>
        <w:tblW w:w="8802" w:type="dxa"/>
        <w:jc w:val="center"/>
        <w:tblInd w:w="0" w:type="dxa"/>
        <w:tblLayout w:type="fixed"/>
        <w:tblCellMar>
          <w:top w:w="28" w:type="dxa"/>
          <w:left w:w="28" w:type="dxa"/>
          <w:bottom w:w="28" w:type="dxa"/>
          <w:right w:w="28" w:type="dxa"/>
        </w:tblCellMar>
      </w:tblPr>
      <w:tblGrid>
        <w:gridCol w:w="940"/>
        <w:gridCol w:w="826"/>
        <w:gridCol w:w="829"/>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 unlimited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348,129 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obligation -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1,135,421 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participation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1,469,645 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1,691,587 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the five states in which the Company owns the highest concentrations of state and local government securities.</w:t>
      </w:r>
    </w:p>
    <w:tbl>
      <w:tblPr>
        <w:tblW w:w="7857" w:type="dxa"/>
        <w:jc w:val="center"/>
        <w:tblInd w:w="0" w:type="dxa"/>
        <w:tblLayout w:type="fixed"/>
        <w:tblCellMar>
          <w:top w:w="28" w:type="dxa"/>
          <w:left w:w="28" w:type="dxa"/>
          <w:bottom w:w="28" w:type="dxa"/>
          <w:right w:w="28" w:type="dxa"/>
        </w:tblCellMar>
      </w:tblPr>
      <w:tblGrid>
        <w:gridCol w:w="598"/>
        <w:gridCol w:w="525"/>
        <w:gridCol w:w="527"/>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370,189 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329,252 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carrying amount and weighted-average yield of available-for-sale and held-to-maturity debt securities by contractual maturity at March 31, 2025.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 </w:t>
      </w:r>
    </w:p>
    <w:tbl>
      <w:tblPr>
        <w:tblW w:w="15984" w:type="dxa"/>
        <w:jc w:val="left"/>
        <w:tblInd w:w="0" w:type="dxa"/>
        <w:tblLayout w:type="fixed"/>
        <w:tblCellMar>
          <w:top w:w="28" w:type="dxa"/>
          <w:left w:w="28" w:type="dxa"/>
          <w:bottom w:w="28" w:type="dxa"/>
          <w:right w:w="28" w:type="dxa"/>
        </w:tblCellMar>
      </w:tblPr>
      <w:tblGrid>
        <w:gridCol w:w="598"/>
        <w:gridCol w:w="419"/>
        <w:gridCol w:w="259"/>
        <w:gridCol w:w="196"/>
        <w:gridCol w:w="736"/>
        <w:gridCol w:w="109"/>
        <w:gridCol w:w="109"/>
        <w:gridCol w:w="109"/>
        <w:gridCol w:w="109"/>
        <w:gridCol w:w="233"/>
        <w:gridCol w:w="233"/>
        <w:gridCol w:w="253"/>
        <w:gridCol w:w="109"/>
        <w:gridCol w:w="109"/>
        <w:gridCol w:w="109"/>
        <w:gridCol w:w="196"/>
        <w:gridCol w:w="871"/>
        <w:gridCol w:w="109"/>
        <w:gridCol w:w="109"/>
        <w:gridCol w:w="109"/>
        <w:gridCol w:w="109"/>
        <w:gridCol w:w="233"/>
        <w:gridCol w:w="233"/>
        <w:gridCol w:w="241"/>
        <w:gridCol w:w="109"/>
        <w:gridCol w:w="109"/>
        <w:gridCol w:w="109"/>
        <w:gridCol w:w="196"/>
        <w:gridCol w:w="736"/>
        <w:gridCol w:w="109"/>
        <w:gridCol w:w="109"/>
        <w:gridCol w:w="109"/>
        <w:gridCol w:w="109"/>
        <w:gridCol w:w="248"/>
        <w:gridCol w:w="218"/>
        <w:gridCol w:w="241"/>
        <w:gridCol w:w="109"/>
        <w:gridCol w:w="109"/>
        <w:gridCol w:w="109"/>
        <w:gridCol w:w="196"/>
        <w:gridCol w:w="871"/>
        <w:gridCol w:w="109"/>
        <w:gridCol w:w="109"/>
        <w:gridCol w:w="109"/>
        <w:gridCol w:w="109"/>
        <w:gridCol w:w="233"/>
        <w:gridCol w:w="233"/>
        <w:gridCol w:w="253"/>
        <w:gridCol w:w="109"/>
        <w:gridCol w:w="109"/>
        <w:gridCol w:w="109"/>
        <w:gridCol w:w="196"/>
        <w:gridCol w:w="871"/>
        <w:gridCol w:w="109"/>
        <w:gridCol w:w="109"/>
        <w:gridCol w:w="109"/>
        <w:gridCol w:w="109"/>
        <w:gridCol w:w="233"/>
        <w:gridCol w:w="233"/>
        <w:gridCol w:w="241"/>
        <w:gridCol w:w="109"/>
        <w:gridCol w:w="109"/>
        <w:gridCol w:w="109"/>
        <w:gridCol w:w="196"/>
        <w:gridCol w:w="871"/>
        <w:gridCol w:w="109"/>
        <w:gridCol w:w="327"/>
        <w:gridCol w:w="466"/>
        <w:gridCol w:w="300"/>
      </w:tblGrid>
      <w:tr>
        <w:trPr/>
        <w:tc>
          <w:tcPr>
            <w:tcW w:w="5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 One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 Five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Mortgage-Backed Securities </w:t>
            </w:r>
            <w:r>
              <w:rPr>
                <w:rFonts w:ascii="Times New Roman;sans-serif" w:hAnsi="Times New 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Yield</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federal agency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State and local governments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available-for-sale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4,172,312 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federal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State and local governments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Total held-to-maturity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Total debt</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16"/>
              </w:rPr>
              <w:t>securities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544,511 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1,247,155 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1,313,596 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4,091,001 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7,433,887 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analysis of its available-for-sale debt securities with unrealized losses as of March 31, 2025,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held-to-maturity debt securities portfolio; therefore, no ACL has been recognized at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the Company’s debt securities, see Note 2 to the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 primarily consist of capital stock issued by the FHLB of Des Moines and are carried at cost less impairment. The Company also has an insignificant amount of equity securities that are included in other assets on the Company’s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 and equity securities without readily determinable fair values are evaluated for impairment whenever events or circumstances suggest the carrying value may not be recoverable. Based on the Company’s evaluation of its investments in non-marketable equity securities and equity securities without readily determinable fair values as of March 31, 2025, the Company determined that none of such securities were impaired.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Lending Activity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Loan information included in “Part I. Item 2. 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20"/>
        <w:gridCol w:w="508"/>
        <w:gridCol w:w="510"/>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447"/>
      </w:tblGrid>
      <w:tr>
        <w:trPr/>
        <w:tc>
          <w:tcPr>
            <w:tcW w:w="7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largest category of the Company’s loan portfolio is Commercial Real Estate (“CRE”). An additional breakdown of the Company’s CRE portfolio follows. </w:t>
      </w:r>
    </w:p>
    <w:tbl>
      <w:tblPr>
        <w:tblW w:w="10134" w:type="dxa"/>
        <w:jc w:val="left"/>
        <w:tblInd w:w="0" w:type="dxa"/>
        <w:tblLayout w:type="fixed"/>
        <w:tblCellMar>
          <w:top w:w="28" w:type="dxa"/>
          <w:left w:w="28" w:type="dxa"/>
          <w:bottom w:w="28" w:type="dxa"/>
          <w:right w:w="28" w:type="dxa"/>
        </w:tblCellMar>
      </w:tblPr>
      <w:tblGrid>
        <w:gridCol w:w="951"/>
        <w:gridCol w:w="835"/>
        <w:gridCol w:w="838"/>
        <w:gridCol w:w="237"/>
        <w:gridCol w:w="1096"/>
        <w:gridCol w:w="122"/>
        <w:gridCol w:w="109"/>
        <w:gridCol w:w="109"/>
        <w:gridCol w:w="109"/>
        <w:gridCol w:w="302"/>
        <w:gridCol w:w="1401"/>
        <w:gridCol w:w="156"/>
        <w:gridCol w:w="109"/>
        <w:gridCol w:w="109"/>
        <w:gridCol w:w="109"/>
        <w:gridCol w:w="211"/>
        <w:gridCol w:w="1081"/>
        <w:gridCol w:w="109"/>
        <w:gridCol w:w="109"/>
        <w:gridCol w:w="109"/>
        <w:gridCol w:w="109"/>
        <w:gridCol w:w="369"/>
        <w:gridCol w:w="369"/>
        <w:gridCol w:w="107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total CRE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warehouse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and nursing</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 and RV Storage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Agriculture real estate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 and entertainment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transportation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2,099,739 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5,357,758 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5,595,051 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CRE portfolio by geographic location, including occupancy as of the date indicated: </w:t>
      </w:r>
    </w:p>
    <w:tbl>
      <w:tblPr>
        <w:tblW w:w="6377" w:type="dxa"/>
        <w:jc w:val="left"/>
        <w:tblInd w:w="0" w:type="dxa"/>
        <w:tblLayout w:type="fixed"/>
        <w:tblCellMar>
          <w:top w:w="28" w:type="dxa"/>
          <w:left w:w="28" w:type="dxa"/>
          <w:bottom w:w="28" w:type="dxa"/>
          <w:right w:w="28" w:type="dxa"/>
        </w:tblCellMar>
      </w:tblPr>
      <w:tblGrid>
        <w:gridCol w:w="870"/>
        <w:gridCol w:w="763"/>
        <w:gridCol w:w="766"/>
        <w:gridCol w:w="211"/>
        <w:gridCol w:w="1081"/>
        <w:gridCol w:w="109"/>
        <w:gridCol w:w="109"/>
        <w:gridCol w:w="109"/>
        <w:gridCol w:w="109"/>
        <w:gridCol w:w="393"/>
        <w:gridCol w:w="393"/>
        <w:gridCol w:w="983"/>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total 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 portfolio is comprised of loans made to purchase, construct and finance commercial real estate properties. On average, the balances are small and geographically disbursed across our eight-state footprint. Specifically, our CRE portfolio has an average loan balance of $778 thousand with an average loan-to-value ratio (“LTV”) of 58% as of March 31, 2025.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recent trends in the banking industry, there has been increased risk associated with commercial real estate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Non-performing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regarding non-performing assets at the dates indicated: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9"/>
        <w:gridCol w:w="1036"/>
        <w:gridCol w:w="1041"/>
        <w:gridCol w:w="368"/>
        <w:gridCol w:w="1257"/>
        <w:gridCol w:w="472"/>
        <w:gridCol w:w="109"/>
        <w:gridCol w:w="109"/>
        <w:gridCol w:w="109"/>
        <w:gridCol w:w="451"/>
        <w:gridCol w:w="371"/>
        <w:gridCol w:w="783"/>
        <w:gridCol w:w="109"/>
        <w:gridCol w:w="109"/>
        <w:gridCol w:w="109"/>
        <w:gridCol w:w="595"/>
        <w:gridCol w:w="421"/>
        <w:gridCol w:w="1049"/>
        <w:gridCol w:w="109"/>
        <w:gridCol w:w="159"/>
      </w:tblGrid>
      <w:tr>
        <w:trPr/>
        <w:tc>
          <w:tcPr>
            <w:tcW w:w="143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 and foreclosed assets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90 days or more past due</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32,896 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39,338 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27,786 </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as a percentage of subsidiary assets</w:t>
            </w:r>
          </w:p>
        </w:tc>
        <w:tc>
          <w:tcPr>
            <w:tcW w:w="1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4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ACL as a percentage of non-performing loans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Accruing loans 30-89 days past due</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32,228 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62,423 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guarantees included in non-performing assets</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income </w:t>
            </w:r>
            <w:r>
              <w:rPr>
                <w:rFonts w:ascii="Times New Roman;sans-serif" w:hAnsi="Times New Roman;sans-serif"/>
                <w:b w:val="false"/>
                <w:color w:val="000000"/>
                <w:sz w:val="13"/>
              </w:rPr>
              <w:t>1</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Amounts represent estimated interest income that would have been recognized on loans accounted for on a non-accrual basis as of the end of each period had such loans performed pursuant to contractual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Non-performing assets as a percentage of subsidiary assets at March 31, 2025 was 0.14 percent compared to 0.10 percent in the prior quarter and 0.09 percent in the prior year first quarter. Non-performing assets of $39.3 million at March 31, 2025 increased $11.6 million, or 42 percent, over the prior quarter and increased $13.9 million, or 55 percent, over the prior year first quarter. The increase in the non-performing loans in the current quarter was primarily attributable to a single credit relationship.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Early stage delinquencies (accruing loans 30-89 days past due) as a percentage of loans at March 31, 2025 were 0.27 percent compared to 0.19 percent for the prior quarter end and 0.37 percent for the prior year first quarter. Early stage delinquencies of $46.5 million at March 31, 2025 increased $14.2 million from the prior quarter and decreased $16.0 million from prior year first quarter.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accounting policies relating to non-performing assets, see Note 1 to the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Modifications to Borrowers Experiencing Financial Difficulty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identifies loans modified to borrowers experiencing financial difficulty (“MBFD”).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March 31, 2025 had an amortized cost of $6.3 million.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Real Estate Owned and Foreclosed Assets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book value of loans prior to the acquisition of collateral and transfer of the loans into other real estate owned (“OREO”) and other foreclosed assets during 2025 was $48 thousand. The fair value of the loan collateral acquired in foreclosure during 2025 was $30 thousand. The following table sets forth the changes in OREO for the periods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25"/>
        <w:gridCol w:w="747"/>
        <w:gridCol w:w="750"/>
        <w:gridCol w:w="565"/>
        <w:gridCol w:w="1650"/>
        <w:gridCol w:w="291"/>
        <w:gridCol w:w="109"/>
        <w:gridCol w:w="109"/>
        <w:gridCol w:w="109"/>
        <w:gridCol w:w="652"/>
        <w:gridCol w:w="602"/>
        <w:gridCol w:w="605"/>
        <w:gridCol w:w="109"/>
        <w:gridCol w:w="109"/>
        <w:gridCol w:w="109"/>
        <w:gridCol w:w="844"/>
        <w:gridCol w:w="824"/>
        <w:gridCol w:w="827"/>
        <w:gridCol w:w="109"/>
        <w:gridCol w:w="160"/>
      </w:tblGrid>
      <w:tr>
        <w:trPr/>
        <w:tc>
          <w:tcPr>
            <w:tcW w:w="92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2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improvements</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Write-downs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Allowance for Credit Losses - Loans Receivable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ACL as of the dates indicated:</w:t>
      </w:r>
    </w:p>
    <w:tbl>
      <w:tblPr>
        <w:tblW w:w="13110" w:type="dxa"/>
        <w:jc w:val="center"/>
        <w:tblInd w:w="0" w:type="dxa"/>
        <w:tblLayout w:type="fixed"/>
        <w:tblCellMar>
          <w:top w:w="28" w:type="dxa"/>
          <w:left w:w="28" w:type="dxa"/>
          <w:bottom w:w="28" w:type="dxa"/>
          <w:right w:w="28" w:type="dxa"/>
        </w:tblCellMar>
      </w:tblPr>
      <w:tblGrid>
        <w:gridCol w:w="549"/>
        <w:gridCol w:w="258"/>
        <w:gridCol w:w="25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632"/>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br/>
              <w:t>of Loans in</w:t>
              <w:br/>
              <w:t>Category</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ACL experience for the periods indicated:</w:t>
      </w:r>
    </w:p>
    <w:tbl>
      <w:tblPr>
        <w:tblW w:w="10205" w:type="dxa"/>
        <w:jc w:val="center"/>
        <w:tblInd w:w="0" w:type="dxa"/>
        <w:tblLayout w:type="fixed"/>
        <w:tblCellMar>
          <w:top w:w="28" w:type="dxa"/>
          <w:left w:w="28" w:type="dxa"/>
          <w:bottom w:w="28" w:type="dxa"/>
          <w:right w:w="28" w:type="dxa"/>
        </w:tblCellMar>
      </w:tblPr>
      <w:tblGrid>
        <w:gridCol w:w="1162"/>
        <w:gridCol w:w="915"/>
        <w:gridCol w:w="918"/>
        <w:gridCol w:w="368"/>
        <w:gridCol w:w="1442"/>
        <w:gridCol w:w="473"/>
        <w:gridCol w:w="109"/>
        <w:gridCol w:w="109"/>
        <w:gridCol w:w="109"/>
        <w:gridCol w:w="451"/>
        <w:gridCol w:w="440"/>
        <w:gridCol w:w="858"/>
        <w:gridCol w:w="109"/>
        <w:gridCol w:w="109"/>
        <w:gridCol w:w="109"/>
        <w:gridCol w:w="625"/>
        <w:gridCol w:w="477"/>
        <w:gridCol w:w="1156"/>
        <w:gridCol w:w="109"/>
        <w:gridCol w:w="157"/>
      </w:tblGrid>
      <w:tr>
        <w:trPr/>
        <w:tc>
          <w:tcPr>
            <w:tcW w:w="11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192,757 </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192,757 </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 recoveries</w:t>
            </w:r>
          </w:p>
        </w:tc>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w:t>
            </w:r>
          </w:p>
        </w:tc>
        <w:tc>
          <w:tcPr>
            <w:tcW w:w="1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210,400 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206,041 </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198,778 </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ACL as a percentage of total loans</w:t>
            </w:r>
          </w:p>
        </w:tc>
        <w:tc>
          <w:tcPr>
            <w:tcW w:w="1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8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as a percentage of total loans</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as a percentage of non-accrual loans</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639.59 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1,007.78 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958.52 </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net (charge-offs) recoveries as a percentage of average loans for the periods indicated: </w:t>
      </w:r>
    </w:p>
    <w:tbl>
      <w:tblPr>
        <w:tblW w:w="7170" w:type="dxa"/>
        <w:jc w:val="left"/>
        <w:tblInd w:w="0" w:type="dxa"/>
        <w:tblLayout w:type="fixed"/>
        <w:tblCellMar>
          <w:top w:w="28" w:type="dxa"/>
          <w:left w:w="28" w:type="dxa"/>
          <w:bottom w:w="28" w:type="dxa"/>
          <w:right w:w="28" w:type="dxa"/>
        </w:tblCellMar>
      </w:tblPr>
      <w:tblGrid>
        <w:gridCol w:w="1011"/>
        <w:gridCol w:w="886"/>
        <w:gridCol w:w="892"/>
        <w:gridCol w:w="296"/>
        <w:gridCol w:w="289"/>
        <w:gridCol w:w="517"/>
        <w:gridCol w:w="109"/>
        <w:gridCol w:w="109"/>
        <w:gridCol w:w="109"/>
        <w:gridCol w:w="293"/>
        <w:gridCol w:w="293"/>
        <w:gridCol w:w="674"/>
        <w:gridCol w:w="109"/>
        <w:gridCol w:w="109"/>
        <w:gridCol w:w="109"/>
        <w:gridCol w:w="296"/>
        <w:gridCol w:w="289"/>
        <w:gridCol w:w="517"/>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commercial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(charge-offs) recoveries</w:t>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quarter credit loss expense of $7.8 million included $6.2 million of provision for credit losses on loans and $1.7 million of provision for credit losses on unfunded commitments.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as a percentage of total loans outstanding at March 31, 2025 was 1.22 percent compared to 1.19 percent at year end and the prior year first quarter. The Company’s ACL of $210 million is considered adequate to absorb the estimated credit losses from any segment of its loan portfolio. For the periods ended March 31, 2025 and 2024, the Company believes the ACL is commensurate with the risk in the Company’s loan portfolio and is directionally consistent with the change in the quality of the Company’s loan portfolio.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each quarter, the Company analyzes its loan portfolio and maintains an ACL at a level that is appropriate and determined in accordance with accounting principles generally accepted in the United States of America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commercial banking services to individuals, small to medium-sized businesses, community organizations and public entities from 227 locations, including 193 branches, across Montana, Idaho, Utah, Washington, Wyoming, Colorado, Arizona and Nevada.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seventeen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ACL, its relation to credit loss expense and risks related to asset quality, see Note 3 to the Consolidated Financial Statements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Loans by Regulatory Classification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loan portfolio by regulatory classification:</w:t>
      </w:r>
    </w:p>
    <w:tbl>
      <w:tblPr>
        <w:tblW w:w="10205" w:type="dxa"/>
        <w:jc w:val="center"/>
        <w:tblInd w:w="0" w:type="dxa"/>
        <w:tblLayout w:type="fixed"/>
        <w:tblCellMar>
          <w:top w:w="28" w:type="dxa"/>
          <w:left w:w="28" w:type="dxa"/>
          <w:bottom w:w="28" w:type="dxa"/>
          <w:right w:w="28" w:type="dxa"/>
        </w:tblCellMar>
      </w:tblPr>
      <w:tblGrid>
        <w:gridCol w:w="1077"/>
        <w:gridCol w:w="765"/>
        <w:gridCol w:w="768"/>
        <w:gridCol w:w="211"/>
        <w:gridCol w:w="1081"/>
        <w:gridCol w:w="109"/>
        <w:gridCol w:w="109"/>
        <w:gridCol w:w="109"/>
        <w:gridCol w:w="109"/>
        <w:gridCol w:w="211"/>
        <w:gridCol w:w="1081"/>
        <w:gridCol w:w="109"/>
        <w:gridCol w:w="109"/>
        <w:gridCol w:w="109"/>
        <w:gridCol w:w="109"/>
        <w:gridCol w:w="211"/>
        <w:gridCol w:w="1081"/>
        <w:gridCol w:w="109"/>
        <w:gridCol w:w="109"/>
        <w:gridCol w:w="133"/>
        <w:gridCol w:w="133"/>
        <w:gridCol w:w="133"/>
        <w:gridCol w:w="133"/>
        <w:gridCol w:w="246"/>
        <w:gridCol w:w="172"/>
        <w:gridCol w:w="336"/>
        <w:gridCol w:w="109"/>
        <w:gridCol w:w="109"/>
        <w:gridCol w:w="109"/>
        <w:gridCol w:w="201"/>
        <w:gridCol w:w="201"/>
        <w:gridCol w:w="344"/>
        <w:gridCol w:w="109"/>
        <w:gridCol w:w="161"/>
      </w:tblGrid>
      <w:tr>
        <w:trPr/>
        <w:tc>
          <w:tcPr>
            <w:tcW w:w="107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Loans Receivable,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1343" w:type="dxa"/>
            <w:gridSpan w:val="8"/>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Pre-sold and spec construction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construction</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land or lots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Unimproved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Developed lots for operative builders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construction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land, lot, and other construction</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1-4 family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lines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and political subdivisions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 including loans held for sale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loans held for sale </w:t>
            </w:r>
            <w:r>
              <w:rPr>
                <w:rFonts w:ascii="Times New Roman;sans-serif" w:hAnsi="Times New Roman;sans-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receivable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17,218,518 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Loans held for sale are primarily First lien 1-4 family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non-performing assets by regulatory classification:</w:t>
      </w:r>
    </w:p>
    <w:tbl>
      <w:tblPr>
        <w:tblW w:w="10205" w:type="dxa"/>
        <w:jc w:val="center"/>
        <w:tblInd w:w="0" w:type="dxa"/>
        <w:tblLayout w:type="fixed"/>
        <w:tblCellMar>
          <w:top w:w="28" w:type="dxa"/>
          <w:left w:w="28" w:type="dxa"/>
          <w:bottom w:w="28" w:type="dxa"/>
          <w:right w:w="28" w:type="dxa"/>
        </w:tblCellMar>
      </w:tblPr>
      <w:tblGrid>
        <w:gridCol w:w="773"/>
        <w:gridCol w:w="407"/>
        <w:gridCol w:w="409"/>
        <w:gridCol w:w="211"/>
        <w:gridCol w:w="721"/>
        <w:gridCol w:w="109"/>
        <w:gridCol w:w="109"/>
        <w:gridCol w:w="109"/>
        <w:gridCol w:w="109"/>
        <w:gridCol w:w="368"/>
        <w:gridCol w:w="353"/>
        <w:gridCol w:w="187"/>
        <w:gridCol w:w="109"/>
        <w:gridCol w:w="109"/>
        <w:gridCol w:w="109"/>
        <w:gridCol w:w="376"/>
        <w:gridCol w:w="345"/>
        <w:gridCol w:w="188"/>
        <w:gridCol w:w="109"/>
        <w:gridCol w:w="736"/>
        <w:gridCol w:w="109"/>
        <w:gridCol w:w="109"/>
        <w:gridCol w:w="109"/>
        <w:gridCol w:w="445"/>
        <w:gridCol w:w="445"/>
        <w:gridCol w:w="446"/>
        <w:gridCol w:w="109"/>
        <w:gridCol w:w="109"/>
        <w:gridCol w:w="109"/>
        <w:gridCol w:w="322"/>
        <w:gridCol w:w="294"/>
        <w:gridCol w:w="217"/>
        <w:gridCol w:w="187"/>
        <w:gridCol w:w="187"/>
        <w:gridCol w:w="188"/>
        <w:gridCol w:w="345"/>
        <w:gridCol w:w="271"/>
        <w:gridCol w:w="258"/>
      </w:tblGrid>
      <w:tr>
        <w:trPr/>
        <w:tc>
          <w:tcPr>
            <w:tcW w:w="77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br/>
              <w:t>Non-performing Assets,</w:t>
              <w:br/>
              <w:t>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w:t>
              <w:br/>
              <w:t>Accrual</w:t>
              <w:br/>
              <w:t>Loans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Accruing</w:t>
              <w:br/>
              <w:t>Loans 90  Days or</w:t>
              <w:br/>
              <w:t>More Past Due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OREO</w:t>
            </w:r>
          </w:p>
        </w:tc>
        <w:tc>
          <w:tcPr>
            <w:tcW w:w="1436" w:type="dxa"/>
            <w:gridSpan w:val="6"/>
            <w:tcBorders/>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Unimproved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Developed lots for operative builders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land, lot and other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1-4 family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32,896 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accruing loans 30-89 days past due by regulatory classification:</w:t>
      </w:r>
    </w:p>
    <w:tbl>
      <w:tblPr>
        <w:tblW w:w="10205" w:type="dxa"/>
        <w:jc w:val="center"/>
        <w:tblInd w:w="0" w:type="dxa"/>
        <w:tblLayout w:type="fixed"/>
        <w:tblCellMar>
          <w:top w:w="28" w:type="dxa"/>
          <w:left w:w="28" w:type="dxa"/>
          <w:bottom w:w="28" w:type="dxa"/>
          <w:right w:w="28" w:type="dxa"/>
        </w:tblCellMar>
      </w:tblPr>
      <w:tblGrid>
        <w:gridCol w:w="1199"/>
        <w:gridCol w:w="1025"/>
        <w:gridCol w:w="1029"/>
        <w:gridCol w:w="211"/>
        <w:gridCol w:w="721"/>
        <w:gridCol w:w="109"/>
        <w:gridCol w:w="109"/>
        <w:gridCol w:w="109"/>
        <w:gridCol w:w="109"/>
        <w:gridCol w:w="211"/>
        <w:gridCol w:w="721"/>
        <w:gridCol w:w="109"/>
        <w:gridCol w:w="109"/>
        <w:gridCol w:w="109"/>
        <w:gridCol w:w="109"/>
        <w:gridCol w:w="211"/>
        <w:gridCol w:w="721"/>
        <w:gridCol w:w="109"/>
        <w:gridCol w:w="109"/>
        <w:gridCol w:w="154"/>
        <w:gridCol w:w="154"/>
        <w:gridCol w:w="154"/>
        <w:gridCol w:w="154"/>
        <w:gridCol w:w="291"/>
        <w:gridCol w:w="242"/>
        <w:gridCol w:w="391"/>
        <w:gridCol w:w="109"/>
        <w:gridCol w:w="109"/>
        <w:gridCol w:w="109"/>
        <w:gridCol w:w="265"/>
        <w:gridCol w:w="267"/>
        <w:gridCol w:w="395"/>
        <w:gridCol w:w="109"/>
        <w:gridCol w:w="163"/>
      </w:tblGrid>
      <w:tr>
        <w:trPr/>
        <w:tc>
          <w:tcPr>
            <w:tcW w:w="11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Accruing 30-89 Days Delinquent </w:t>
              <w:br/>
              <w:t>Loans, 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 from</w:t>
            </w:r>
          </w:p>
        </w:tc>
        <w:tc>
          <w:tcPr>
            <w:tcW w:w="1526" w:type="dxa"/>
            <w:gridSpan w:val="8"/>
            <w:tcBorders/>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Unimproved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Developed lots for operative builders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land, lot and other construction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1-4 family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 not measurable</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charge-offs and recoveries by regulatory classification:</w:t>
      </w:r>
    </w:p>
    <w:tbl>
      <w:tblPr>
        <w:tblW w:w="10205" w:type="dxa"/>
        <w:jc w:val="center"/>
        <w:tblInd w:w="0" w:type="dxa"/>
        <w:tblLayout w:type="fixed"/>
        <w:tblCellMar>
          <w:top w:w="28" w:type="dxa"/>
          <w:left w:w="28" w:type="dxa"/>
          <w:bottom w:w="28" w:type="dxa"/>
          <w:right w:w="28" w:type="dxa"/>
        </w:tblCellMar>
      </w:tblPr>
      <w:tblGrid>
        <w:gridCol w:w="1057"/>
        <w:gridCol w:w="881"/>
        <w:gridCol w:w="880"/>
        <w:gridCol w:w="238"/>
        <w:gridCol w:w="698"/>
        <w:gridCol w:w="123"/>
        <w:gridCol w:w="123"/>
        <w:gridCol w:w="123"/>
        <w:gridCol w:w="123"/>
        <w:gridCol w:w="360"/>
        <w:gridCol w:w="361"/>
        <w:gridCol w:w="230"/>
        <w:gridCol w:w="123"/>
        <w:gridCol w:w="123"/>
        <w:gridCol w:w="123"/>
        <w:gridCol w:w="317"/>
        <w:gridCol w:w="299"/>
        <w:gridCol w:w="241"/>
        <w:gridCol w:w="109"/>
        <w:gridCol w:w="1081"/>
        <w:gridCol w:w="109"/>
        <w:gridCol w:w="109"/>
        <w:gridCol w:w="109"/>
        <w:gridCol w:w="335"/>
        <w:gridCol w:w="335"/>
        <w:gridCol w:w="336"/>
        <w:gridCol w:w="109"/>
        <w:gridCol w:w="109"/>
        <w:gridCol w:w="109"/>
        <w:gridCol w:w="345"/>
        <w:gridCol w:w="271"/>
        <w:gridCol w:w="316"/>
      </w:tblGrid>
      <w:tr>
        <w:trPr/>
        <w:tc>
          <w:tcPr>
            <w:tcW w:w="10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(Recoveries), </w:t>
              <w:br/>
              <w:t>Year-to-Date Period Ending,</w:t>
              <w:br/>
              <w:t>By Loan Type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259" w:type="dxa"/>
            <w:gridSpan w:val="6"/>
            <w:tcBorders/>
          </w:tcPr>
          <w:p>
            <w:pPr>
              <w:pStyle w:val="TableContents"/>
              <w:bidi w:val="0"/>
              <w:spacing w:before="0" w:after="283"/>
              <w:jc w:val="left"/>
              <w:rPr>
                <w:sz w:val="4"/>
                <w:szCs w:val="4"/>
              </w:rPr>
            </w:pPr>
            <w:r>
              <w:rPr>
                <w:sz w:val="4"/>
                <w:szCs w:val="4"/>
              </w:rPr>
            </w:r>
          </w:p>
        </w:tc>
      </w:tr>
      <w:tr>
        <w:trPr/>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w:t>
              <w:b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 31,</w:t>
              <w:br/>
              <w:t>2025</w:t>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Pre-sold and spec construction</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construction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development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land or lots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Unimproved land</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land, lot and other construction</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real estate</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lien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1-4 family</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lines of credit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of Funds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deposits have traditionally been the principal source of funds for use in lending and other business purposes. The Company also obtains funds from repayment of loans and debt securities, securities sold under agreements to repurchase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Deposits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NOW,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tbl>
      <w:tblPr>
        <w:tblW w:w="10205" w:type="dxa"/>
        <w:jc w:val="center"/>
        <w:tblInd w:w="0" w:type="dxa"/>
        <w:tblLayout w:type="fixed"/>
        <w:tblCellMar>
          <w:top w:w="28" w:type="dxa"/>
          <w:left w:w="28" w:type="dxa"/>
          <w:bottom w:w="28" w:type="dxa"/>
          <w:right w:w="28" w:type="dxa"/>
        </w:tblCellMar>
      </w:tblPr>
      <w:tblGrid>
        <w:gridCol w:w="747"/>
        <w:gridCol w:w="498"/>
        <w:gridCol w:w="493"/>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447"/>
      </w:tblGrid>
      <w:tr>
        <w:trPr/>
        <w:tc>
          <w:tcPr>
            <w:tcW w:w="7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Borrowings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borrows money through repurchase agreements. This process involves the selling of one or more of the securities in the Company’s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Company periodically enters into wholesale repurchase agreements as additional funding sources. The Company has not entered into reverse repurchase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Company.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other sources of secured and unsecured borrowing lines from various sources that may be used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Short-term borrowings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Subordinated Debentures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March 31, 2025. The subordinated debentures outstanding as of March 31, 2025 were $133 million, including fair value adjustments from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Contractual Obligations and Off-Balance Sheet Arrangements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March 31, 2025 and determined its ACL of $22.1 million was adequate to absorb the estimated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variable interest entities (“VIE”), see Note 7 to the Unaudited Consolidated Financial Statements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1.assessing on an ongoing basis, the current and expected future needs for funds, and ensuring that sufficient funds or access to funds exist to meet those needs at the appropriate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2.providing for an adequate cushion of liquidity to meet unanticipated cash flow needs that may arise from potential adverse circumstances ranging from high probability/low severity events to low probability/high severity;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3.balancing the benefits between providing for adequate liquidity to mitigate potential adverse events and the cost of that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certain liquidity sources and capacity available to the Company as of the dates indicated:</w:t>
      </w:r>
    </w:p>
    <w:tbl>
      <w:tblPr>
        <w:tblW w:w="6916" w:type="dxa"/>
        <w:jc w:val="center"/>
        <w:tblInd w:w="0" w:type="dxa"/>
        <w:tblLayout w:type="fixed"/>
        <w:tblCellMar>
          <w:top w:w="28" w:type="dxa"/>
          <w:left w:w="28" w:type="dxa"/>
          <w:bottom w:w="28" w:type="dxa"/>
          <w:right w:w="28" w:type="dxa"/>
        </w:tblCellMar>
      </w:tblPr>
      <w:tblGrid>
        <w:gridCol w:w="1348"/>
        <w:gridCol w:w="1184"/>
        <w:gridCol w:w="1188"/>
        <w:gridCol w:w="211"/>
        <w:gridCol w:w="976"/>
        <w:gridCol w:w="109"/>
        <w:gridCol w:w="109"/>
        <w:gridCol w:w="109"/>
        <w:gridCol w:w="109"/>
        <w:gridCol w:w="524"/>
        <w:gridCol w:w="526"/>
        <w:gridCol w:w="52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4,355,976 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utilized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and other pledged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2,549,811 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FRB discount window</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1,860,932 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utilized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1,860,932 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lines of credit available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525,000 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Unencumbered debt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608,979 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301,990 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907,832 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837,169 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unencumbered debt securities </w:t>
            </w:r>
            <w:r>
              <w:rPr>
                <w:rFonts w:ascii="Times New Roman;sans-serif" w:hAnsi="Times New Roman;sans-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3,285,783 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Total unencumbered debt securities at March 31, 2025, included $1.6 billion classified as available for sale and $1.6 billion classified as held to maturity. Total unencumbered debt securities at December 31, 2024, included $1,643.5 million classified as available for sale, and $1.6 billion classified as held to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113,517,944 have been issued as of March 31, 2025. The Company also has the capacity to issue 1,000,000 shares of preferred stock of which none have been issued as of March 31, 2025. Conversely, the Company may decide to utilize a portion of its strong capital position, as it has done in the past, to repurchase shares of its outstanding common stock, depending on market price and other relevant considerations.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March 31, 2025, management believes the Company and Bank meet all capital adequacy requirements to which they are subject and there are no conditions or events subsequent to this date that management believes have changed the Company’s or Bank’s risk-based capital category.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Bank’s regulatory capital ratios and the Federal Reserve’s capital adequacy guidelines as of March 31, 2025:</w:t>
      </w:r>
    </w:p>
    <w:tbl>
      <w:tblPr>
        <w:tblW w:w="10205" w:type="dxa"/>
        <w:jc w:val="left"/>
        <w:tblInd w:w="0" w:type="dxa"/>
        <w:tblLayout w:type="fixed"/>
        <w:tblCellMar>
          <w:top w:w="28" w:type="dxa"/>
          <w:left w:w="28" w:type="dxa"/>
          <w:bottom w:w="28" w:type="dxa"/>
          <w:right w:w="28" w:type="dxa"/>
        </w:tblCellMar>
      </w:tblPr>
      <w:tblGrid>
        <w:gridCol w:w="842"/>
        <w:gridCol w:w="598"/>
        <w:gridCol w:w="603"/>
        <w:gridCol w:w="420"/>
        <w:gridCol w:w="403"/>
        <w:gridCol w:w="1008"/>
        <w:gridCol w:w="109"/>
        <w:gridCol w:w="109"/>
        <w:gridCol w:w="109"/>
        <w:gridCol w:w="422"/>
        <w:gridCol w:w="406"/>
        <w:gridCol w:w="1014"/>
        <w:gridCol w:w="109"/>
        <w:gridCol w:w="109"/>
        <w:gridCol w:w="109"/>
        <w:gridCol w:w="461"/>
        <w:gridCol w:w="444"/>
        <w:gridCol w:w="1111"/>
        <w:gridCol w:w="109"/>
        <w:gridCol w:w="109"/>
        <w:gridCol w:w="109"/>
        <w:gridCol w:w="390"/>
        <w:gridCol w:w="279"/>
        <w:gridCol w:w="823"/>
      </w:tblGrid>
      <w:tr>
        <w:trPr/>
        <w:tc>
          <w:tcPr>
            <w:tcW w:w="84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Leverage Ratio/</w:t>
              <w:br/>
              <w:t>Tier 1 Capital (To Average Assets)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Glacier Bank actual regulatory ratios</w:t>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Minimum capital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Minimum capital requirements plus capital conservation buffer</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Well capitalized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Federal and State Income Taxes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4.55 percent in Utah, 4.00 percent in Colorado and 4.90 percent in Arizona. Washington, Wyoming and Nevada do not impose a corporate income tax. The Company is also required to file in states other than the eight states in which it has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relevant to the Company’s federal and state income taxes:</w:t>
      </w:r>
    </w:p>
    <w:tbl>
      <w:tblPr>
        <w:tblW w:w="8410" w:type="dxa"/>
        <w:jc w:val="center"/>
        <w:tblInd w:w="0" w:type="dxa"/>
        <w:tblLayout w:type="fixed"/>
        <w:tblCellMar>
          <w:top w:w="28" w:type="dxa"/>
          <w:left w:w="28" w:type="dxa"/>
          <w:bottom w:w="28" w:type="dxa"/>
          <w:right w:w="28" w:type="dxa"/>
        </w:tblCellMar>
      </w:tblPr>
      <w:tblGrid>
        <w:gridCol w:w="2022"/>
        <w:gridCol w:w="1775"/>
        <w:gridCol w:w="1782"/>
        <w:gridCol w:w="211"/>
        <w:gridCol w:w="721"/>
        <w:gridCol w:w="271"/>
        <w:gridCol w:w="109"/>
        <w:gridCol w:w="109"/>
        <w:gridCol w:w="109"/>
        <w:gridCol w:w="360"/>
        <w:gridCol w:w="361"/>
        <w:gridCol w:w="580"/>
      </w:tblGrid>
      <w:tr>
        <w:trPr/>
        <w:tc>
          <w:tcPr>
            <w:tcW w:w="20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36,377 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Effective tax rate </w:t>
            </w:r>
            <w:r>
              <w:rPr>
                <w:rFonts w:ascii="Times New Roman;sans-serif" w:hAnsi="Times New Roman;sans-serif"/>
                <w:b w:val="false"/>
                <w:color w:val="000000"/>
                <w:sz w:val="13"/>
              </w:rPr>
              <w:t>1</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tax-exempt debt securities, municipal loans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20,990 </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from federal income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ind w:left="0" w:right="0" w:hanging="9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current and prior year’s low effective income tax rates are due to income from tax-exempt debt securities, municipal loans and leases and benefits from federal income tax credits.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expense during the first quarter of 2025 was $8.9 million, a decrease of $2.8 million, or 24 percent, compared to the prior quarter and an increase of $5.2 million, or 138 percent, from the prior year first quarter. The effective tax rate in the current quarter was 14.1 percent compared to 16.0 percent in the prior quarter and 10.3 percent in the prior year first quarter. The lower tax expense and lower effective tax rate in the current quarter compared to the prior quarter was the result of a combination of higher federal income tax credits and a decrease in income before income tax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equity investments in Certified Development Entities (“CDE”) which have received allocations of New Markets Tax Credits (“NMTC”). Administered by the Community Development Financial Institutions Fund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Low-Income Housing Tax Credits (“LIHTC”) which are indirect federal subsidies used to finance the development of affordable rental housing for low-income households. The federal income tax credits are claimed over a ten-year credit allowance period. The Company has investments of $11.2 million in Qualified School Construction bonds whereby the Company receives quarterly federal income tax credits in lieu of taxable interest income. The federal income tax credits on these debt securities are subject to federal and state income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list of expected federal income tax credits to be received in the years indicated.</w:t>
      </w:r>
    </w:p>
    <w:p>
      <w:pPr>
        <w:pStyle w:val="TextBody"/>
        <w:bidi w:val="0"/>
        <w:spacing w:lineRule="auto" w:line="288"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598"/>
        <w:gridCol w:w="525"/>
        <w:gridCol w:w="527"/>
        <w:gridCol w:w="213"/>
        <w:gridCol w:w="727"/>
        <w:gridCol w:w="111"/>
        <w:gridCol w:w="109"/>
        <w:gridCol w:w="109"/>
        <w:gridCol w:w="109"/>
        <w:gridCol w:w="413"/>
        <w:gridCol w:w="413"/>
        <w:gridCol w:w="376"/>
        <w:gridCol w:w="109"/>
        <w:gridCol w:w="109"/>
        <w:gridCol w:w="109"/>
        <w:gridCol w:w="350"/>
        <w:gridCol w:w="350"/>
        <w:gridCol w:w="351"/>
        <w:gridCol w:w="109"/>
        <w:gridCol w:w="109"/>
        <w:gridCol w:w="109"/>
        <w:gridCol w:w="579"/>
        <w:gridCol w:w="579"/>
        <w:gridCol w:w="581"/>
        <w:gridCol w:w="109"/>
        <w:gridCol w:w="109"/>
        <w:gridCol w:w="109"/>
        <w:gridCol w:w="412"/>
        <w:gridCol w:w="414"/>
        <w:gridCol w:w="24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w:t>
              <w:br/>
              <w:t>Markets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Low-Income</w:t>
              <w:br/>
              <w:t>Housing</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w:t>
              <w:br/>
              <w:t>Securities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Historic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220,479 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Average Balance Sheet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tbl>
      <w:tblPr>
        <w:tblW w:w="10205" w:type="dxa"/>
        <w:jc w:val="left"/>
        <w:tblInd w:w="0" w:type="dxa"/>
        <w:tblLayout w:type="fixed"/>
        <w:tblCellMar>
          <w:top w:w="28" w:type="dxa"/>
          <w:left w:w="28" w:type="dxa"/>
          <w:bottom w:w="28" w:type="dxa"/>
          <w:right w:w="28" w:type="dxa"/>
        </w:tblCellMar>
      </w:tblPr>
      <w:tblGrid>
        <w:gridCol w:w="888"/>
        <w:gridCol w:w="320"/>
        <w:gridCol w:w="321"/>
        <w:gridCol w:w="211"/>
        <w:gridCol w:w="1081"/>
        <w:gridCol w:w="109"/>
        <w:gridCol w:w="109"/>
        <w:gridCol w:w="109"/>
        <w:gridCol w:w="109"/>
        <w:gridCol w:w="211"/>
        <w:gridCol w:w="826"/>
        <w:gridCol w:w="109"/>
        <w:gridCol w:w="109"/>
        <w:gridCol w:w="109"/>
        <w:gridCol w:w="109"/>
        <w:gridCol w:w="255"/>
        <w:gridCol w:w="256"/>
        <w:gridCol w:w="433"/>
        <w:gridCol w:w="109"/>
        <w:gridCol w:w="109"/>
        <w:gridCol w:w="109"/>
        <w:gridCol w:w="211"/>
        <w:gridCol w:w="1081"/>
        <w:gridCol w:w="109"/>
        <w:gridCol w:w="109"/>
        <w:gridCol w:w="109"/>
        <w:gridCol w:w="109"/>
        <w:gridCol w:w="211"/>
        <w:gridCol w:w="826"/>
        <w:gridCol w:w="109"/>
        <w:gridCol w:w="109"/>
        <w:gridCol w:w="109"/>
        <w:gridCol w:w="109"/>
        <w:gridCol w:w="255"/>
        <w:gridCol w:w="256"/>
        <w:gridCol w:w="492"/>
      </w:tblGrid>
      <w:tr>
        <w:trPr/>
        <w:tc>
          <w:tcPr>
            <w:tcW w:w="8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w:t>
              <w:br/>
              <w:t>Yield/</w:t>
              <w:br/>
              <w:t>Rate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loans </w:t>
            </w:r>
            <w:r>
              <w:rPr>
                <w:rFonts w:ascii="Times New Roman;sans-serif" w:hAnsi="Times New Roman;sans-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 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loans </w:t>
            </w:r>
            <w:r>
              <w:rPr>
                <w:rFonts w:ascii="Times New Roman;sans-serif" w:hAnsi="Times New Roman;sans-serif"/>
                <w:b w:val="false"/>
                <w:color w:val="000000"/>
                <w:sz w:val="13"/>
              </w:rPr>
              <w:t>2</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Tax-exempt investment securities </w:t>
            </w:r>
            <w:r>
              <w:rPr>
                <w:rFonts w:ascii="Times New Roman;sans-serif" w:hAnsi="Times New Roman;sans-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Taxable investment securities </w:t>
            </w:r>
            <w:r>
              <w:rPr>
                <w:rFonts w:ascii="Times New Roman;sans-serif" w:hAnsi="Times New Roman;sans-serif"/>
                <w:b w:val="false"/>
                <w:color w:val="000000"/>
                <w:sz w:val="13"/>
              </w:rPr>
              <w:t>4, 5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earning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25,830,807 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Non-earning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borrowings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Wholesale deposits </w:t>
            </w:r>
            <w:r>
              <w:rPr>
                <w:rFonts w:ascii="Times New Roman;sans-serif" w:hAnsi="Times New Roman;sans-serif"/>
                <w:b w:val="false"/>
                <w:color w:val="000000"/>
                <w:sz w:val="13"/>
              </w:rPr>
              <w:t>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agreements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FRB Bank Term Funding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borrowings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 and other borrowed funds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24,185,255 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25,017,923 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(tax-equivalent)</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spread (tax-equivalent)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 (tax-equivalent)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Average Balance Sheet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tax effect of $1.5 million and $1.6 million on tax-exempt municipal loan and lease income for the three months ended March 31, 2025, and </w:t>
      </w:r>
      <w:r>
        <w:rPr>
          <w:rFonts w:ascii="Times New Roman;sans-serif" w:hAnsi="Times New Roman;sans-serif"/>
          <w:b w:val="false"/>
          <w:color w:val="000000"/>
          <w:sz w:val="20"/>
        </w:rPr>
        <w:t xml:space="preserve">March 31, 2024 </w:t>
      </w:r>
      <w:r>
        <w:rPr>
          <w:rFonts w:ascii="Times New Roman;sans-serif" w:hAnsi="Times New Roman;sans-serif"/>
          <w:b w:val="false"/>
          <w:color w:val="000000"/>
          <w:sz w:val="18"/>
        </w:rPr>
        <w:t>respectively.</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Includes tax effect of $1.7 million and $2.2 million on tax-exempt debt securities income for the three months ended March 31, 2025, and </w:t>
      </w:r>
      <w:r>
        <w:rPr>
          <w:rFonts w:ascii="Times New Roman;sans-serif" w:hAnsi="Times New Roman;sans-serif"/>
          <w:b w:val="false"/>
          <w:color w:val="000000"/>
          <w:sz w:val="20"/>
        </w:rPr>
        <w:t xml:space="preserve">March 31, 2024 </w:t>
      </w:r>
      <w:r>
        <w:rPr>
          <w:rFonts w:ascii="Times New Roman;sans-serif" w:hAnsi="Times New Roman;sans-serif"/>
          <w:b w:val="false"/>
          <w:color w:val="000000"/>
          <w:sz w:val="18"/>
        </w:rPr>
        <w:t>respectively.</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 xml:space="preserve">Includes interest income of $6.1 million and $15.3 million on average interest-bearing cash balances of $559.5 million and $1,120.4 million for the three months ended March 31, 2025, and </w:t>
      </w:r>
      <w:r>
        <w:rPr>
          <w:rFonts w:ascii="Times New Roman;sans-serif" w:hAnsi="Times New Roman;sans-serif"/>
          <w:b w:val="false"/>
          <w:color w:val="000000"/>
          <w:sz w:val="20"/>
        </w:rPr>
        <w:t>March 31, 2024</w:t>
      </w:r>
      <w:r>
        <w:rPr>
          <w:color w:val="000000"/>
        </w:rPr>
        <w:t xml:space="preserve"> </w:t>
      </w:r>
      <w:r>
        <w:rPr>
          <w:rFonts w:ascii="Times New Roman;sans-serif" w:hAnsi="Times New Roman;sans-serif"/>
          <w:b w:val="false"/>
          <w:color w:val="000000"/>
          <w:sz w:val="18"/>
        </w:rPr>
        <w:t>respectively.</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 xml:space="preserve">Includes tax effect of $150 thousand and $215 thousand on federal income tax credits for the three months ended March 31, 2025, and </w:t>
      </w:r>
      <w:r>
        <w:rPr>
          <w:rFonts w:ascii="Times New Roman;sans-serif" w:hAnsi="Times New Roman;sans-serif"/>
          <w:b w:val="false"/>
          <w:color w:val="000000"/>
          <w:sz w:val="20"/>
        </w:rPr>
        <w:t>March 31, 2024</w:t>
      </w:r>
      <w:r>
        <w:rPr>
          <w:color w:val="000000"/>
        </w:rPr>
        <w:t xml:space="preserve"> </w:t>
      </w:r>
      <w:r>
        <w:rPr>
          <w:rFonts w:ascii="Times New Roman;sans-serif" w:hAnsi="Times New Roman;sans-serif"/>
          <w:b w:val="false"/>
          <w:color w:val="000000"/>
          <w:sz w:val="18"/>
        </w:rPr>
        <w:t>respectively.</w:t>
      </w:r>
    </w:p>
    <w:p>
      <w:pPr>
        <w:pStyle w:val="TextBody"/>
        <w:bidi w:val="0"/>
        <w:spacing w:lineRule="auto" w:line="288" w:before="0" w:after="0"/>
        <w:ind w:left="0" w:right="0" w:hanging="9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Wholesale deposits include brokered deposits classified as NOW, DDA, money market deposit and certificate accounts with contractual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Rate/Volume Analysis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tbl>
      <w:tblPr>
        <w:tblW w:w="8343" w:type="dxa"/>
        <w:jc w:val="left"/>
        <w:tblInd w:w="0" w:type="dxa"/>
        <w:tblLayout w:type="fixed"/>
        <w:tblCellMar>
          <w:top w:w="28" w:type="dxa"/>
          <w:left w:w="28" w:type="dxa"/>
          <w:bottom w:w="28" w:type="dxa"/>
          <w:right w:w="28" w:type="dxa"/>
        </w:tblCellMar>
      </w:tblPr>
      <w:tblGrid>
        <w:gridCol w:w="1544"/>
        <w:gridCol w:w="1355"/>
        <w:gridCol w:w="1361"/>
        <w:gridCol w:w="291"/>
        <w:gridCol w:w="852"/>
        <w:gridCol w:w="150"/>
        <w:gridCol w:w="150"/>
        <w:gridCol w:w="150"/>
        <w:gridCol w:w="150"/>
        <w:gridCol w:w="360"/>
        <w:gridCol w:w="361"/>
        <w:gridCol w:w="161"/>
        <w:gridCol w:w="150"/>
        <w:gridCol w:w="150"/>
        <w:gridCol w:w="150"/>
        <w:gridCol w:w="420"/>
        <w:gridCol w:w="375"/>
        <w:gridCol w:w="213"/>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 vs. 2024</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(Dollars in thousands)</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(tax-equivalent)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and other loans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(tax-equivalent)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 and DDA accounts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accounts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deposit accounts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accounts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deposits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agreements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FRB Bank Term Funding</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debentures and other borrowed funds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(tax-equivalent)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(tax-equivalent) decreased $22.9 million for the three months ended March 31, 2025 compared to the same period in 2024. The interest income for the first three months of the current year increased over the same period last year primarily from increased loan yields and loan growth. The decrease in interest expense for the first three months of the current year compared to prior year was primarily the result of a decrease in interest rates and the pay down of the FRB Bank Term Funding in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Market Risk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Risk</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interest income simulation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and 400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March 31, 2025.</w:t>
      </w:r>
    </w:p>
    <w:tbl>
      <w:tblPr>
        <w:tblW w:w="478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84"/>
        <w:gridCol w:w="287"/>
        <w:gridCol w:w="516"/>
        <w:gridCol w:w="140"/>
        <w:gridCol w:w="140"/>
        <w:gridCol w:w="140"/>
        <w:gridCol w:w="284"/>
        <w:gridCol w:w="287"/>
        <w:gridCol w:w="6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Sensitivity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Scenarios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One Year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 Years</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preceding sensitivity analysis does not represent a forecast and should not be relied upon as being indicative of expected operating results. Growth in the Company’s core deposit franchise, updated deposit pricing assumptions, and other balance sheet changes.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“Market Risk” of this Management’s Discussion and Analysis of Financial Condition and Results of Operations in this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Evaluation of Disclosure Controls and Procedures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and Chief Financial Officer have reviewed and evaluated the effectiveness of the Company’s disclosure controls and procedures (as required by Exchange Act Rules 240.13a-15(b) and 15d-14(c)) as of March 31, 2025.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not been any changes in the Company’s internal control over financial reporting (as such term is defined in Rules 13a-15(f) and 15d-15(f) under the Exchange Act) during the first quarter of 2025, to which this report relates that have materially affected, or are reasonably likely to materially affect the Company’s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risk factor represents a material update and addition to the risk factors previously disclosed in the Company’s 2024 Annual Report on Form 10-K. The risks and uncertainties described in the 2024 Annual Report on Form 10-K continue to be present and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Changes in U.S. and foreign trade policies, including tariffs, related retaliatory measures, and other trade restrictions, could adversely affect our customers and our business, financial condition, and results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developments in U.S. and foreign trade policies, including the imposition or escalation of tariffs, retaliatory measures by trading partners, and other trade restrictions such as export bans or suspensions of critical raw materials, may materially impact our customers, particularly those that rely on global supply chains. The U.S. executive branch has continued to threaten the use of tariffs to address trade imbalances, promote domestic manufacturing, and respond to national security concerns. In response, countries such as China have implemented or threatened retaliatory actions, including higher tariffs on U.S. goods and restrictions on the export of strategic resources such as rare earth elements and key industrial inputs.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3. Defaults upon Senior Securities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5. Other Information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p>
      <w:pPr>
        <w:pStyle w:val="TextBody"/>
        <w:bidi w:val="0"/>
        <w:spacing w:lineRule="auto" w:line="288" w:before="0" w:after="0"/>
        <w:jc w:val="left"/>
        <w:rPr>
          <w:color w:val="000000"/>
        </w:rPr>
      </w:pPr>
      <w:r>
        <w:rPr>
          <w:color w:val="000000"/>
        </w:rPr>
        <w:t> </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Times New Roman;sans-serif" w:hAnsi="Times New Roman;sans-serif"/>
          <w:b w:val="false"/>
          <w:color w:val="000000"/>
          <w:sz w:val="20"/>
        </w:rPr>
        <w:t>31.1    </w:t>
      </w:r>
      <w:hyperlink w:anchor="gbci-03312025xex311.htm">
        <w:r>
          <w:rPr>
            <w:rStyle w:val="InternetLink"/>
            <w:rFonts w:ascii="Times New Roman;sans-serif" w:hAnsi="Times New Roman;sans-serif"/>
            <w:b w:val="false"/>
            <w:color w:val="0000FF"/>
            <w:sz w:val="20"/>
            <w:u w:val="single"/>
          </w:rPr>
          <w:t>Certification of Chief Executive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ans-serif" w:hAnsi="Times New Roman;sans-serif"/>
          <w:b w:val="false"/>
          <w:color w:val="000000"/>
          <w:sz w:val="20"/>
        </w:rPr>
        <w:t>31.2    </w:t>
      </w:r>
      <w:hyperlink w:anchor="gbci-03312025xex312.htm">
        <w:r>
          <w:rPr>
            <w:rStyle w:val="InternetLink"/>
            <w:rFonts w:ascii="Times New Roman;sans-serif" w:hAnsi="Times New Roman;sans-serif"/>
            <w:b w:val="false"/>
            <w:color w:val="0000FF"/>
            <w:sz w:val="20"/>
            <w:u w:val="single"/>
          </w:rPr>
          <w:t>Certification of Chief Financial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ans-serif" w:hAnsi="Times New Roman;sans-serif"/>
          <w:b w:val="false"/>
          <w:color w:val="000000"/>
          <w:sz w:val="20"/>
        </w:rPr>
        <w:t>32    </w:t>
      </w:r>
      <w:hyperlink w:anchor="gbci-03312025xex32.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101.INS    XBRL Instance Document - The instance document does not appear in the interactive data file because its XBRL tags are embedded within the inline XBRL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101.SCH    XBRL Taxonomy Extension Schema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101.CAL    XBRL Taxonomy Extension Calculation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101.DEF    XBRL Taxonomy Extension Definition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101.LAB    XBRL Taxonomy Extension Labels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101.PRE    XBRL Taxonomy Extension Presentation Linkbase Document</w:t>
      </w:r>
    </w:p>
    <w:p>
      <w:pPr>
        <w:pStyle w:val="TextBody"/>
        <w:bidi w:val="0"/>
        <w:spacing w:before="0" w:after="0"/>
        <w:ind w:left="0" w:right="0" w:hanging="1440"/>
        <w:jc w:val="both"/>
        <w:rPr/>
      </w:pPr>
      <w:r>
        <w:rPr/>
      </w:r>
    </w:p>
    <w:p>
      <w:pPr>
        <w:pStyle w:val="TextBody"/>
        <w:bidi w:val="0"/>
        <w:spacing w:lineRule="auto" w:line="288" w:before="0" w:after="20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(formatted as Inline XBRL and contained in Exhibit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436" w:type="dxa"/>
        <w:jc w:val="center"/>
        <w:tblInd w:w="0" w:type="dxa"/>
        <w:tblLayout w:type="fixed"/>
        <w:tblCellMar>
          <w:top w:w="28" w:type="dxa"/>
          <w:left w:w="28" w:type="dxa"/>
          <w:bottom w:w="28" w:type="dxa"/>
          <w:right w:w="28" w:type="dxa"/>
        </w:tblCellMar>
      </w:tblPr>
      <w:tblGrid>
        <w:gridCol w:w="417"/>
        <w:gridCol w:w="368"/>
        <w:gridCol w:w="370"/>
        <w:gridCol w:w="969"/>
        <w:gridCol w:w="969"/>
        <w:gridCol w:w="971"/>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GLACIER BANCORP,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Randall M. Chesler,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446"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574"/>
        <w:gridCol w:w="574"/>
        <w:gridCol w:w="81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31.2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Ron J. Copher,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06"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768"/>
        <w:gridCol w:w="768"/>
        <w:gridCol w:w="108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Glacier Bancorp, Inc. (“Company”) on Form 10-Q for the period ended March 31, 2025,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 or 78o(d));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tbl>
      <w:tblPr>
        <w:tblW w:w="410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767"/>
        <w:gridCol w:w="767"/>
        <w:gridCol w:w="109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Randall M. Chesler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President/CEO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J. Copher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President/CFO</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35440</Words>
  <Characters>199265</Characters>
  <CharactersWithSpaces>231972</CharactersWithSpaces>
  <Paragraphs>6865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