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ind w:left="4200"/>
        <w:spacing w:after="0" w:line="234" w:lineRule="auto"/>
        <w:rPr>
          <w:sz w:val="20"/>
          <w:szCs w:val="20"/>
          <w:color w:val="auto"/>
        </w:rPr>
      </w:pPr>
      <w:r>
        <w:rPr>
          <w:rFonts w:ascii="Arial" w:cs="Arial" w:eastAsia="Arial" w:hAnsi="Arial"/>
          <w:sz w:val="10"/>
          <w:szCs w:val="10"/>
          <w:color w:val="auto"/>
        </w:rPr>
        <w:t>____________________________________________________________</w:t>
      </w:r>
    </w:p>
    <w:p>
      <w:pPr>
        <w:jc w:val="center"/>
        <w:ind w:right="20"/>
        <w:spacing w:after="0"/>
        <w:rPr>
          <w:sz w:val="20"/>
          <w:szCs w:val="20"/>
          <w:color w:val="auto"/>
        </w:rPr>
      </w:pPr>
      <w:r>
        <w:rPr>
          <w:rFonts w:ascii="Arial" w:cs="Arial" w:eastAsia="Arial" w:hAnsi="Arial"/>
          <w:sz w:val="19"/>
          <w:szCs w:val="19"/>
          <w:b w:val="1"/>
          <w:bCs w:val="1"/>
          <w:color w:val="auto"/>
        </w:rPr>
        <w:t>FORM 8-K</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0"/>
          <w:szCs w:val="10"/>
          <w:color w:val="auto"/>
        </w:rPr>
        <w:t>____________________________________________________________</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February 16, 2022</w:t>
      </w:r>
    </w:p>
    <w:p>
      <w:pPr>
        <w:spacing w:after="0" w:line="169" w:lineRule="exact"/>
        <w:rPr>
          <w:sz w:val="24"/>
          <w:szCs w:val="24"/>
          <w:color w:val="auto"/>
        </w:rPr>
      </w:pPr>
    </w:p>
    <w:p>
      <w:pPr>
        <w:ind w:left="4200"/>
        <w:spacing w:after="0"/>
        <w:rPr>
          <w:sz w:val="20"/>
          <w:szCs w:val="20"/>
          <w:color w:val="auto"/>
        </w:rPr>
      </w:pPr>
      <w:r>
        <w:rPr>
          <w:rFonts w:ascii="Arial" w:cs="Arial" w:eastAsia="Arial" w:hAnsi="Arial"/>
          <w:sz w:val="10"/>
          <w:szCs w:val="10"/>
          <w:color w:val="auto"/>
        </w:rPr>
        <w:t>____________________________________________________________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GLACIER BANCORP, INC.</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ind w:left="4200"/>
        <w:spacing w:after="0" w:line="237" w:lineRule="auto"/>
        <w:rPr>
          <w:sz w:val="20"/>
          <w:szCs w:val="20"/>
          <w:color w:val="auto"/>
        </w:rPr>
      </w:pPr>
      <w:r>
        <w:rPr>
          <w:rFonts w:ascii="Arial" w:cs="Arial" w:eastAsia="Arial" w:hAnsi="Arial"/>
          <w:sz w:val="10"/>
          <w:szCs w:val="10"/>
          <w:color w:val="auto"/>
        </w:rPr>
        <w:t>____________________________________________________________</w:t>
      </w:r>
    </w:p>
    <w:p>
      <w:pPr>
        <w:sectPr>
          <w:pgSz w:w="11900" w:h="16838" w:orient="portrait"/>
          <w:cols w:equalWidth="0" w:num="1">
            <w:col w:w="11300"/>
          </w:cols>
          <w:pgMar w:left="300" w:top="702" w:right="299" w:bottom="1440" w:gutter="0" w:footer="0" w:header="0"/>
        </w:sectPr>
      </w:pPr>
    </w:p>
    <w:p>
      <w:pPr>
        <w:spacing w:after="0" w:line="8" w:lineRule="exact"/>
        <w:rPr>
          <w:sz w:val="24"/>
          <w:szCs w:val="24"/>
          <w:color w:val="auto"/>
        </w:rPr>
      </w:pPr>
    </w:p>
    <w:p>
      <w:pPr>
        <w:ind w:left="1580"/>
        <w:spacing w:after="0"/>
        <w:rPr>
          <w:sz w:val="20"/>
          <w:szCs w:val="20"/>
          <w:color w:val="auto"/>
        </w:rPr>
      </w:pPr>
      <w:r>
        <w:rPr>
          <w:rFonts w:ascii="Arial" w:cs="Arial" w:eastAsia="Arial" w:hAnsi="Arial"/>
          <w:sz w:val="13"/>
          <w:szCs w:val="13"/>
          <w:b w:val="1"/>
          <w:bCs w:val="1"/>
          <w:color w:val="auto"/>
        </w:rPr>
        <w:t>Montana</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12"/>
          <w:szCs w:val="12"/>
          <w:b w:val="1"/>
          <w:bCs w:val="1"/>
          <w:color w:val="auto"/>
        </w:rPr>
        <w:t>000-18911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81-0519541</w:t>
      </w:r>
    </w:p>
    <w:p>
      <w:pPr>
        <w:spacing w:after="0" w:line="30" w:lineRule="exact"/>
        <w:rPr>
          <w:sz w:val="24"/>
          <w:szCs w:val="24"/>
          <w:color w:val="auto"/>
        </w:rPr>
      </w:pPr>
    </w:p>
    <w:p>
      <w:pPr>
        <w:sectPr>
          <w:pgSz w:w="11900" w:h="16838" w:orient="portrait"/>
          <w:cols w:equalWidth="0" w:num="3">
            <w:col w:w="4620" w:space="720"/>
            <w:col w:w="3020" w:space="720"/>
            <w:col w:w="2220"/>
          </w:cols>
          <w:pgMar w:left="300" w:top="702" w:right="299" w:bottom="1440" w:gutter="0" w:footer="0" w:header="0"/>
          <w:type w:val="continuous"/>
        </w:sectPr>
      </w:pPr>
    </w:p>
    <w:p>
      <w:pPr>
        <w:spacing w:after="0" w:line="18" w:lineRule="exact"/>
        <w:rPr>
          <w:sz w:val="24"/>
          <w:szCs w:val="24"/>
          <w:color w:val="auto"/>
        </w:rPr>
      </w:pPr>
    </w:p>
    <w:p>
      <w:pPr>
        <w:ind w:left="1300"/>
        <w:spacing w:after="0"/>
        <w:rPr>
          <w:sz w:val="20"/>
          <w:szCs w:val="20"/>
          <w:color w:val="auto"/>
        </w:rPr>
      </w:pPr>
      <w:r>
        <w:rPr>
          <w:rFonts w:ascii="Arial" w:cs="Arial" w:eastAsia="Arial" w:hAnsi="Arial"/>
          <w:sz w:val="8"/>
          <w:szCs w:val="8"/>
          <w:b w:val="1"/>
          <w:bCs w:val="1"/>
          <w:color w:val="auto"/>
        </w:rPr>
        <w:t>(State or other jurisdiction</w:t>
      </w:r>
    </w:p>
    <w:p>
      <w:pPr>
        <w:spacing w:after="0" w:line="4" w:lineRule="exact"/>
        <w:rPr>
          <w:sz w:val="24"/>
          <w:szCs w:val="24"/>
          <w:color w:val="auto"/>
        </w:rPr>
      </w:pPr>
    </w:p>
    <w:p>
      <w:pPr>
        <w:ind w:left="15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(Commission</w:t>
      </w:r>
    </w:p>
    <w:p>
      <w:pPr>
        <w:spacing w:after="0" w:line="6"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0"/>
          <w:szCs w:val="10"/>
          <w:b w:val="1"/>
          <w:bCs w:val="1"/>
          <w:color w:val="auto"/>
        </w:rPr>
        <w:t>(IRS Employer</w:t>
      </w:r>
    </w:p>
    <w:p>
      <w:pPr>
        <w:spacing w:after="0"/>
        <w:rPr>
          <w:sz w:val="20"/>
          <w:szCs w:val="20"/>
          <w:color w:val="auto"/>
        </w:rPr>
      </w:pPr>
      <w:r>
        <w:rPr>
          <w:rFonts w:ascii="Arial" w:cs="Arial" w:eastAsia="Arial" w:hAnsi="Arial"/>
          <w:sz w:val="8"/>
          <w:szCs w:val="8"/>
          <w:b w:val="1"/>
          <w:bCs w:val="1"/>
          <w:color w:val="auto"/>
        </w:rPr>
        <w:t>Identification No.)</w:t>
      </w:r>
    </w:p>
    <w:p>
      <w:pPr>
        <w:spacing w:after="0" w:line="101" w:lineRule="exact"/>
        <w:rPr>
          <w:sz w:val="24"/>
          <w:szCs w:val="24"/>
          <w:color w:val="auto"/>
        </w:rPr>
      </w:pPr>
    </w:p>
    <w:p>
      <w:pPr>
        <w:sectPr>
          <w:pgSz w:w="11900" w:h="16838" w:orient="portrait"/>
          <w:cols w:equalWidth="0" w:num="3">
            <w:col w:w="4640" w:space="720"/>
            <w:col w:w="2960" w:space="720"/>
            <w:col w:w="2260"/>
          </w:cols>
          <w:pgMar w:left="300" w:top="702" w:right="29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49 Commons Loop</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b w:val="1"/>
          <w:bCs w:val="1"/>
          <w:color w:val="auto"/>
        </w:rPr>
        <w:t>Kalispell,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Montana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59901</w:t>
      </w:r>
    </w:p>
    <w:p>
      <w:pPr>
        <w:spacing w:after="0" w:line="48" w:lineRule="exact"/>
        <w:rPr>
          <w:sz w:val="24"/>
          <w:szCs w:val="24"/>
          <w:color w:val="auto"/>
        </w:rPr>
      </w:pPr>
    </w:p>
    <w:p>
      <w:pPr>
        <w:sectPr>
          <w:pgSz w:w="11900" w:h="16838" w:orient="portrait"/>
          <w:cols w:equalWidth="0" w:num="4">
            <w:col w:w="2720" w:space="320"/>
            <w:col w:w="580" w:space="340"/>
            <w:col w:w="3580" w:space="720"/>
            <w:col w:w="3040"/>
          </w:cols>
          <w:pgMar w:left="300" w:top="702" w:right="299" w:bottom="1440" w:gutter="0" w:footer="0" w:header="0"/>
          <w:type w:val="continuous"/>
        </w:sectPr>
      </w:pPr>
    </w:p>
    <w:p>
      <w:pPr>
        <w:ind w:left="202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00" w:lineRule="exact"/>
        <w:rPr>
          <w:sz w:val="24"/>
          <w:szCs w:val="24"/>
          <w:color w:val="auto"/>
        </w:rPr>
      </w:pPr>
    </w:p>
    <w:p>
      <w:pPr>
        <w:sectPr>
          <w:pgSz w:w="11900" w:h="16838" w:orient="portrait"/>
          <w:cols w:equalWidth="0" w:num="2">
            <w:col w:w="7500" w:space="720"/>
            <w:col w:w="3080"/>
          </w:cols>
          <w:pgMar w:left="300" w:top="702" w:right="299" w:bottom="1440" w:gutter="0" w:footer="0" w:header="0"/>
          <w:type w:val="continuous"/>
        </w:sectPr>
      </w:pPr>
    </w:p>
    <w:p>
      <w:pPr>
        <w:jc w:val="center"/>
        <w:ind w:right="220"/>
        <w:spacing w:after="0"/>
        <w:rPr>
          <w:sz w:val="20"/>
          <w:szCs w:val="20"/>
          <w:color w:val="auto"/>
        </w:rPr>
      </w:pPr>
      <w:r>
        <w:rPr>
          <w:rFonts w:ascii="Arial" w:cs="Arial" w:eastAsia="Arial" w:hAnsi="Arial"/>
          <w:sz w:val="14"/>
          <w:szCs w:val="14"/>
          <w:b w:val="1"/>
          <w:bCs w:val="1"/>
          <w:color w:val="auto"/>
        </w:rPr>
        <w:t>(406) 756-4200</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(Registrant’s telephone number, including area code)</w:t>
      </w:r>
    </w:p>
    <w:p>
      <w:pPr>
        <w:sectPr>
          <w:pgSz w:w="11900" w:h="16838" w:orient="portrait"/>
          <w:cols w:equalWidth="0" w:num="1">
            <w:col w:w="11300"/>
          </w:cols>
          <w:pgMar w:left="300" w:top="702" w:right="299" w:bottom="1440" w:gutter="0" w:footer="0" w:header="0"/>
          <w:type w:val="continuous"/>
        </w:sectPr>
      </w:pPr>
    </w:p>
    <w:p>
      <w:pPr>
        <w:spacing w:after="0" w:line="88" w:lineRule="exact"/>
        <w:rPr>
          <w:sz w:val="24"/>
          <w:szCs w:val="24"/>
          <w:color w:val="auto"/>
        </w:rPr>
      </w:pPr>
    </w:p>
    <w:p>
      <w:pPr>
        <w:ind w:left="4200"/>
        <w:spacing w:after="0"/>
        <w:rPr>
          <w:sz w:val="20"/>
          <w:szCs w:val="20"/>
          <w:color w:val="auto"/>
        </w:rPr>
      </w:pPr>
      <w:r>
        <w:rPr>
          <w:rFonts w:ascii="Arial" w:cs="Arial" w:eastAsia="Arial" w:hAnsi="Arial"/>
          <w:sz w:val="10"/>
          <w:szCs w:val="10"/>
          <w:color w:val="auto"/>
        </w:rPr>
        <w:t>____________________________________________________________</w:t>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Written communications pursuant to Rule 425 under the Securities Act (17 CFR 230.425)</w:t>
      </w:r>
    </w:p>
    <w:p>
      <w:pPr>
        <w:spacing w:after="0" w:line="13"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Soliciting material pursuant to Rule 14a-12 under the Exchange Act (17 CFR 240.14a-12)</w:t>
      </w:r>
    </w:p>
    <w:p>
      <w:pPr>
        <w:spacing w:after="0" w:line="3"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Pre-commencement communications pursuant to Rule 14d-2(b) under the Exchange Act (17 CFR 240.14d-2(b))</w:t>
      </w:r>
    </w:p>
    <w:p>
      <w:pPr>
        <w:spacing w:after="0" w:line="3"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Pre-commencement communications pursuant to Rule 13e-4(c) under the Exchange Act (17 CFR 240.13e-4(c))</w:t>
      </w:r>
    </w:p>
    <w:p>
      <w:pPr>
        <w:spacing w:after="0" w:line="102"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6" w:lineRule="exact"/>
        <w:rPr>
          <w:sz w:val="24"/>
          <w:szCs w:val="24"/>
          <w:color w:val="auto"/>
        </w:rPr>
      </w:pPr>
    </w:p>
    <w:tbl>
      <w:tblPr>
        <w:tblLayout w:type="fixed"/>
        <w:tblInd w:w="10" w:type="dxa"/>
        <w:tblCellMar>
          <w:top w:w="0" w:type="dxa"/>
          <w:left w:w="0" w:type="dxa"/>
          <w:bottom w:w="0" w:type="dxa"/>
          <w:right w:w="0" w:type="dxa"/>
        </w:tblCellMar>
      </w:tblPr>
      <w:tr>
        <w:trPr>
          <w:trHeight w:val="167"/>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Name of each exchange on which registered</w:t>
            </w:r>
          </w:p>
        </w:tc>
      </w:tr>
      <w:tr>
        <w:trPr>
          <w:trHeight w:val="151"/>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Common Stock, $0.01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GBCI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The New York Stock Exchange</w:t>
            </w:r>
          </w:p>
        </w:tc>
      </w:tr>
    </w:tbl>
    <w:p>
      <w:pPr>
        <w:spacing w:after="0" w:line="214" w:lineRule="exact"/>
        <w:rPr>
          <w:sz w:val="24"/>
          <w:szCs w:val="24"/>
          <w:color w:val="auto"/>
        </w:rPr>
      </w:pPr>
    </w:p>
    <w:p>
      <w:pPr>
        <w:jc w:val="both"/>
        <w:spacing w:after="0" w:line="249" w:lineRule="auto"/>
        <w:rPr>
          <w:sz w:val="20"/>
          <w:szCs w:val="20"/>
          <w:color w:val="auto"/>
        </w:rPr>
      </w:pPr>
      <w:r>
        <w:rPr>
          <w:rFonts w:ascii="Arial" w:cs="Arial" w:eastAsia="Arial" w:hAnsi="Arial"/>
          <w:sz w:val="13"/>
          <w:szCs w:val="13"/>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4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160" w:lineRule="exact"/>
        <w:rPr>
          <w:sz w:val="24"/>
          <w:szCs w:val="24"/>
          <w:color w:val="auto"/>
        </w:rPr>
      </w:pPr>
    </w:p>
    <w:p>
      <w:pPr>
        <w:jc w:val="both"/>
        <w:ind w:right="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76"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On February 16, 2022, Glacier Bancorp, Inc. (“Company”), Kalispell, Montana, made an investor presentation which will also be posted on its website. The presentation is furnished as Exhibit 99.1 to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6" w:lineRule="exact"/>
        <w:rPr>
          <w:sz w:val="20"/>
          <w:szCs w:val="20"/>
          <w:color w:val="auto"/>
        </w:rPr>
      </w:pPr>
    </w:p>
    <w:p>
      <w:pPr>
        <w:ind w:left="740" w:hanging="316"/>
        <w:spacing w:after="0"/>
        <w:tabs>
          <w:tab w:leader="none" w:pos="7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investor presentation described in Item 7.01 is furnished with this report as Exhibit 99.1.</w:t>
      </w:r>
    </w:p>
    <w:p>
      <w:pPr>
        <w:spacing w:after="0" w:line="172" w:lineRule="exact"/>
        <w:rPr>
          <w:sz w:val="20"/>
          <w:szCs w:val="20"/>
          <w:color w:val="auto"/>
        </w:rPr>
      </w:pPr>
    </w:p>
    <w:p>
      <w:pPr>
        <w:ind w:left="860"/>
        <w:spacing w:after="0"/>
        <w:tabs>
          <w:tab w:leader="none" w:pos="1240" w:val="left"/>
        </w:tabs>
        <w:rPr>
          <w:rFonts w:ascii="Arial" w:cs="Arial" w:eastAsia="Arial" w:hAnsi="Arial"/>
          <w:sz w:val="14"/>
          <w:szCs w:val="14"/>
          <w:color w:val="0000FF"/>
        </w:rPr>
      </w:pPr>
      <w:hyperlink w:anchor="page4">
        <w:r>
          <w:rPr>
            <w:rFonts w:ascii="Arial" w:cs="Arial" w:eastAsia="Arial" w:hAnsi="Arial"/>
            <w:sz w:val="14"/>
            <w:szCs w:val="14"/>
            <w:u w:val="single" w:color="auto"/>
            <w:color w:val="0000FF"/>
          </w:rPr>
          <w:t>99.1</w:t>
        </w:r>
      </w:hyperlink>
      <w:r>
        <w:rPr>
          <w:rFonts w:ascii="Arial" w:cs="Arial" w:eastAsia="Arial" w:hAnsi="Arial"/>
          <w:sz w:val="14"/>
          <w:szCs w:val="14"/>
          <w:color w:val="0000FF"/>
        </w:rPr>
        <w:tab/>
      </w:r>
      <w:r>
        <w:rPr>
          <w:rFonts w:ascii="Arial" w:cs="Arial" w:eastAsia="Arial" w:hAnsi="Arial"/>
          <w:sz w:val="12"/>
          <w:szCs w:val="12"/>
          <w:color w:val="0000FF"/>
        </w:rPr>
        <w:t>Investor Presentation</w:t>
      </w:r>
    </w:p>
    <w:p>
      <w:pPr>
        <w:spacing w:after="0" w:line="172"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471170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20"/>
          </w:cols>
          <w:pgMar w:left="300" w:top="643" w:right="5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4"/>
          <w:szCs w:val="14"/>
          <w:b w:val="1"/>
          <w:bCs w:val="1"/>
          <w:color w:val="auto"/>
        </w:rPr>
        <w:t>SIGNATURES</w:t>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440"/>
        <w:spacing w:after="0"/>
        <w:tabs>
          <w:tab w:leader="none" w:pos="1260" w:val="left"/>
          <w:tab w:leader="none" w:pos="484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February 16, 2022</w:t>
      </w:r>
      <w:r>
        <w:rPr>
          <w:sz w:val="20"/>
          <w:szCs w:val="20"/>
          <w:color w:val="auto"/>
        </w:rPr>
        <w:tab/>
      </w:r>
      <w:r>
        <w:rPr>
          <w:rFonts w:ascii="Arial" w:cs="Arial" w:eastAsia="Arial" w:hAnsi="Arial"/>
          <w:sz w:val="13"/>
          <w:szCs w:val="13"/>
          <w:color w:val="auto"/>
        </w:rPr>
        <w:t>GLACIER BANCORP, INC.</w:t>
      </w:r>
    </w:p>
    <w:p>
      <w:pPr>
        <w:spacing w:after="0" w:line="200" w:lineRule="exact"/>
        <w:rPr>
          <w:sz w:val="20"/>
          <w:szCs w:val="20"/>
          <w:color w:val="auto"/>
        </w:rPr>
      </w:pPr>
    </w:p>
    <w:p>
      <w:pPr>
        <w:spacing w:after="0" w:line="251"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/s/ 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15240</wp:posOffset>
            </wp:positionV>
            <wp:extent cx="32861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5715"/>
                    </a:xfrm>
                    <a:prstGeom prst="rect">
                      <a:avLst/>
                    </a:prstGeom>
                    <a:noFill/>
                  </pic:spPr>
                </pic:pic>
              </a:graphicData>
            </a:graphic>
          </wp:anchor>
        </w:drawing>
      </w:r>
    </w:p>
    <w:p>
      <w:pPr>
        <w:spacing w:after="0" w:line="8" w:lineRule="exact"/>
        <w:rPr>
          <w:sz w:val="20"/>
          <w:szCs w:val="20"/>
          <w:color w:val="auto"/>
        </w:rPr>
      </w:pPr>
    </w:p>
    <w:p>
      <w:pPr>
        <w:ind w:left="4860"/>
        <w:spacing w:after="0"/>
        <w:tabs>
          <w:tab w:leader="none" w:pos="5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Randall M. Chesler</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0480"/>
          </w:cols>
          <w:pgMar w:left="720" w:top="643" w:right="6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2022-02-16T16:17:48Z</dcterms:created>
  <dcterms:modified xsi:type="dcterms:W3CDTF">2022-02-16T16:17:48Z</dcterms:modified>
</cp:coreProperties>
</file>