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202"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 xml:space="preserve">QUARTERLY REPORT PURSUANT TO SECTION 13 OR 15(d) OF THE SECURITIES EXCHANGE ACT OF 1934 </w:t>
      </w:r>
      <w:r>
        <w:rPr>
          <w:rFonts w:ascii="Times New Roman" w:cs="Times New Roman" w:eastAsia="Times New Roman" w:hAnsi="Times New Roman"/>
          <w:sz w:val="14"/>
          <w:szCs w:val="14"/>
          <w:b w:val="1"/>
          <w:bCs w:val="1"/>
          <w:color w:val="auto"/>
        </w:rPr>
        <w:t>For the quarterly period ended June 30, 2025</w:t>
      </w:r>
    </w:p>
    <w:p>
      <w:pPr>
        <w:spacing w:after="0" w:line="172" w:lineRule="exact"/>
        <w:rPr>
          <w:sz w:val="24"/>
          <w:szCs w:val="24"/>
          <w:color w:val="auto"/>
        </w:rPr>
      </w:pPr>
    </w:p>
    <w:p>
      <w:pPr>
        <w:ind w:left="180" w:hanging="175"/>
        <w:spacing w:after="0"/>
        <w:tabs>
          <w:tab w:leader="none" w:pos="1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b w:val="1"/>
          <w:bCs w:val="1"/>
          <w:color w:val="auto"/>
        </w:rPr>
        <w:t>For the transition period from __________ to __________</w:t>
      </w:r>
    </w:p>
    <w:p>
      <w:pPr>
        <w:spacing w:after="0" w:line="1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 xml:space="preserve">Commission file number </w:t>
      </w:r>
      <w:r>
        <w:rPr>
          <w:rFonts w:ascii="Times New Roman" w:cs="Times New Roman" w:eastAsia="Times New Roman" w:hAnsi="Times New Roman"/>
          <w:sz w:val="17"/>
          <w:szCs w:val="17"/>
          <w:b w:val="1"/>
          <w:bCs w:val="1"/>
          <w:u w:val="single" w:color="auto"/>
          <w:color w:val="auto"/>
        </w:rPr>
        <w:t>001-41170</w:t>
      </w:r>
    </w:p>
    <w:p>
      <w:pPr>
        <w:spacing w:after="0" w:line="1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GLACIER BANCORP, INC.</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760" w:type="dxa"/>
            <w:vAlign w:val="bottom"/>
            <w:gridSpan w:val="2"/>
          </w:tcPr>
          <w:p>
            <w:pPr>
              <w:jc w:val="center"/>
              <w:ind w:left="1813"/>
              <w:spacing w:after="0"/>
              <w:rPr>
                <w:sz w:val="20"/>
                <w:szCs w:val="20"/>
                <w:color w:val="auto"/>
              </w:rPr>
            </w:pPr>
            <w:r>
              <w:rPr>
                <w:rFonts w:ascii="Times New Roman" w:cs="Times New Roman" w:eastAsia="Times New Roman" w:hAnsi="Times New Roman"/>
                <w:sz w:val="14"/>
                <w:szCs w:val="14"/>
                <w:b w:val="1"/>
                <w:bCs w:val="1"/>
                <w:color w:val="auto"/>
              </w:rPr>
              <w:t>Montana</w:t>
            </w:r>
          </w:p>
        </w:tc>
        <w:tc>
          <w:tcPr>
            <w:tcW w:w="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0" w:type="dxa"/>
            <w:vAlign w:val="bottom"/>
          </w:tcPr>
          <w:p>
            <w:pPr>
              <w:jc w:val="right"/>
              <w:ind w:right="2434"/>
              <w:spacing w:after="0"/>
              <w:rPr>
                <w:sz w:val="20"/>
                <w:szCs w:val="20"/>
                <w:color w:val="auto"/>
              </w:rPr>
            </w:pPr>
            <w:r>
              <w:rPr>
                <w:rFonts w:ascii="Times New Roman" w:cs="Times New Roman" w:eastAsia="Times New Roman" w:hAnsi="Times New Roman"/>
                <w:sz w:val="14"/>
                <w:szCs w:val="14"/>
                <w:b w:val="1"/>
                <w:bCs w:val="1"/>
                <w:color w:val="auto"/>
              </w:rPr>
              <w:t>81-0519541</w:t>
            </w:r>
          </w:p>
        </w:tc>
      </w:tr>
      <w:tr>
        <w:trPr>
          <w:trHeight w:val="149"/>
        </w:trPr>
        <w:tc>
          <w:tcPr>
            <w:tcW w:w="7500" w:type="dxa"/>
            <w:vAlign w:val="bottom"/>
            <w:gridSpan w:val="5"/>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800" w:type="dxa"/>
            <w:vAlign w:val="bottom"/>
          </w:tcPr>
          <w:p>
            <w:pPr>
              <w:jc w:val="center"/>
              <w:ind w:right="1814"/>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265"/>
        </w:trPr>
        <w:tc>
          <w:tcPr>
            <w:tcW w:w="288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49 Commons Loop</w:t>
            </w: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Kalispell,</w:t>
            </w:r>
          </w:p>
        </w:tc>
        <w:tc>
          <w:tcPr>
            <w:tcW w:w="3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Montana</w:t>
            </w:r>
          </w:p>
        </w:tc>
        <w:tc>
          <w:tcPr>
            <w:tcW w:w="3800" w:type="dxa"/>
            <w:vAlign w:val="bottom"/>
          </w:tcPr>
          <w:p>
            <w:pPr>
              <w:jc w:val="right"/>
              <w:ind w:right="2594"/>
              <w:spacing w:after="0"/>
              <w:rPr>
                <w:sz w:val="20"/>
                <w:szCs w:val="20"/>
                <w:color w:val="auto"/>
              </w:rPr>
            </w:pPr>
            <w:r>
              <w:rPr>
                <w:rFonts w:ascii="Times New Roman" w:cs="Times New Roman" w:eastAsia="Times New Roman" w:hAnsi="Times New Roman"/>
                <w:sz w:val="14"/>
                <w:szCs w:val="14"/>
                <w:b w:val="1"/>
                <w:bCs w:val="1"/>
                <w:color w:val="auto"/>
              </w:rPr>
              <w:t>59901</w:t>
            </w:r>
          </w:p>
        </w:tc>
      </w:tr>
      <w:tr>
        <w:trPr>
          <w:trHeight w:val="149"/>
        </w:trPr>
        <w:tc>
          <w:tcPr>
            <w:tcW w:w="3760" w:type="dxa"/>
            <w:vAlign w:val="bottom"/>
            <w:gridSpan w:val="2"/>
          </w:tcPr>
          <w:p>
            <w:pPr>
              <w:jc w:val="center"/>
              <w:ind w:left="181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0" w:type="dxa"/>
            <w:vAlign w:val="bottom"/>
          </w:tcPr>
          <w:p>
            <w:pPr>
              <w:jc w:val="center"/>
              <w:ind w:right="1814"/>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5"/>
        </w:trPr>
        <w:tc>
          <w:tcPr>
            <w:tcW w:w="2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90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(406) 756-4200</w:t>
            </w:r>
          </w:p>
        </w:tc>
        <w:tc>
          <w:tcPr>
            <w:tcW w:w="84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149"/>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3800" w:type="dxa"/>
            <w:vAlign w:val="bottom"/>
          </w:tcPr>
          <w:p>
            <w:pPr>
              <w:spacing w:after="0"/>
              <w:rPr>
                <w:sz w:val="12"/>
                <w:szCs w:val="12"/>
                <w:color w:val="auto"/>
              </w:rPr>
            </w:pPr>
          </w:p>
        </w:tc>
      </w:tr>
      <w:tr>
        <w:trPr>
          <w:trHeight w:val="276"/>
        </w:trPr>
        <w:tc>
          <w:tcPr>
            <w:tcW w:w="2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tc>
        <w:tc>
          <w:tcPr>
            <w:tcW w:w="3800" w:type="dxa"/>
            <w:vAlign w:val="bottom"/>
          </w:tcPr>
          <w:p>
            <w:pPr>
              <w:spacing w:after="0"/>
              <w:rPr>
                <w:sz w:val="23"/>
                <w:szCs w:val="23"/>
                <w:color w:val="auto"/>
              </w:rPr>
            </w:pPr>
          </w:p>
        </w:tc>
      </w:tr>
      <w:tr>
        <w:trPr>
          <w:trHeight w:val="305"/>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
        </w:trPr>
        <w:tc>
          <w:tcPr>
            <w:tcW w:w="2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171"/>
        </w:trPr>
        <w:tc>
          <w:tcPr>
            <w:tcW w:w="2880" w:type="dxa"/>
            <w:vAlign w:val="bottom"/>
            <w:tcBorders>
              <w:left w:val="single" w:sz="8" w:color="auto"/>
              <w:bottom w:val="single" w:sz="8" w:color="auto"/>
            </w:tcBorders>
          </w:tcPr>
          <w:p>
            <w:pPr>
              <w:jc w:val="center"/>
              <w:ind w:left="1593"/>
              <w:spacing w:after="0"/>
              <w:rPr>
                <w:sz w:val="20"/>
                <w:szCs w:val="20"/>
                <w:color w:val="auto"/>
              </w:rPr>
            </w:pPr>
            <w:r>
              <w:rPr>
                <w:rFonts w:ascii="Times New Roman" w:cs="Times New Roman" w:eastAsia="Times New Roman" w:hAnsi="Times New Roman"/>
                <w:sz w:val="14"/>
                <w:szCs w:val="14"/>
                <w:color w:val="auto"/>
              </w:rPr>
              <w:t>Title of each class</w:t>
            </w:r>
          </w:p>
        </w:tc>
        <w:tc>
          <w:tcPr>
            <w:tcW w:w="8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840" w:type="dxa"/>
            <w:vAlign w:val="bottom"/>
            <w:tcBorders>
              <w:bottom w:val="single" w:sz="8" w:color="auto"/>
            </w:tcBorders>
          </w:tcPr>
          <w:p>
            <w:pPr>
              <w:spacing w:after="0"/>
              <w:rPr>
                <w:sz w:val="14"/>
                <w:szCs w:val="14"/>
                <w:color w:val="auto"/>
              </w:rPr>
            </w:pPr>
          </w:p>
        </w:tc>
        <w:tc>
          <w:tcPr>
            <w:tcW w:w="380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760" w:type="dxa"/>
            <w:vAlign w:val="bottom"/>
            <w:tcBorders>
              <w:left w:val="single" w:sz="8" w:color="auto"/>
              <w:bottom w:val="single" w:sz="8" w:color="auto"/>
            </w:tcBorders>
            <w:gridSpan w:val="2"/>
          </w:tcPr>
          <w:p>
            <w:pPr>
              <w:jc w:val="center"/>
              <w:ind w:left="733"/>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00" w:type="dxa"/>
            <w:vAlign w:val="bottom"/>
            <w:tcBorders>
              <w:bottom w:val="single" w:sz="8" w:color="auto"/>
              <w:right w:val="single" w:sz="8" w:color="auto"/>
            </w:tcBorders>
          </w:tcPr>
          <w:p>
            <w:pPr>
              <w:spacing w:after="0"/>
              <w:rPr>
                <w:sz w:val="14"/>
                <w:szCs w:val="14"/>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GBCI</w:t>
            </w:r>
          </w:p>
        </w:tc>
        <w:tc>
          <w:tcPr>
            <w:tcW w:w="840" w:type="dxa"/>
            <w:vAlign w:val="bottom"/>
            <w:tcBorders>
              <w:bottom w:val="single" w:sz="8" w:color="auto"/>
            </w:tcBorders>
          </w:tcPr>
          <w:p>
            <w:pPr>
              <w:spacing w:after="0"/>
              <w:rPr>
                <w:sz w:val="14"/>
                <w:szCs w:val="14"/>
                <w:color w:val="auto"/>
              </w:rPr>
            </w:pPr>
          </w:p>
        </w:tc>
        <w:tc>
          <w:tcPr>
            <w:tcW w:w="380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14"/>
                <w:szCs w:val="14"/>
                <w:color w:val="auto"/>
                <w:w w:val="99"/>
              </w:rPr>
              <w:t>The New York Stock Exchange</w:t>
            </w:r>
          </w:p>
        </w:tc>
      </w:tr>
    </w:tbl>
    <w:p>
      <w:pPr>
        <w:spacing w:after="0" w:line="176" w:lineRule="exact"/>
        <w:rPr>
          <w:sz w:val="24"/>
          <w:szCs w:val="24"/>
          <w:color w:val="auto"/>
        </w:rPr>
      </w:pPr>
    </w:p>
    <w:p>
      <w:pPr>
        <w:jc w:val="both"/>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w:t>
      </w:r>
    </w:p>
    <w:p>
      <w:pPr>
        <w:spacing w:after="0" w:line="96" w:lineRule="exact"/>
        <w:rPr>
          <w:sz w:val="24"/>
          <w:szCs w:val="24"/>
          <w:color w:val="auto"/>
        </w:rPr>
      </w:pPr>
    </w:p>
    <w:p>
      <w:pPr>
        <w:jc w:val="both"/>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w:t>
      </w:r>
    </w:p>
    <w:p>
      <w:pPr>
        <w:spacing w:after="0" w:line="96"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188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55"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tabs>
          <w:tab w:leader="none" w:pos="70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3"/>
          <w:szCs w:val="13"/>
          <w:color w:val="auto"/>
        </w:rPr>
        <w:t>No</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on July 15, 2025 was 118,551,408.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7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8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980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146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00" w:type="dxa"/>
            <w:vAlign w:val="bottom"/>
            <w:gridSpan w:val="23"/>
            <w:vMerge w:val="continue"/>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Item 1 – Financial Statements</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6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Unaudited Condensed Consolidated Statements of Financial Condition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0000FF"/>
              </w:rPr>
              <w:t>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80" w:type="dxa"/>
            <w:vAlign w:val="bottom"/>
            <w:tcBorders>
              <w:top w:val="single" w:sz="8" w:color="0000FF"/>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FF"/>
              </w:rPr>
              <w:t>June 30, 2025 and December 31, 2024</w:t>
            </w:r>
          </w:p>
        </w:tc>
        <w:tc>
          <w:tcPr>
            <w:tcW w:w="1900" w:type="dxa"/>
            <w:vAlign w:val="bottom"/>
            <w:tcBorders>
              <w:top w:val="single" w:sz="8" w:color="0000FF"/>
            </w:tcBorders>
            <w:gridSpan w:val="8"/>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Operations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2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Three and Six Months ended June 30, 2025 and 2024</w:t>
            </w:r>
          </w:p>
        </w:tc>
        <w:tc>
          <w:tcPr>
            <w:tcW w:w="560" w:type="dxa"/>
            <w:vAlign w:val="bottom"/>
            <w:tcBorders>
              <w:top w:val="single" w:sz="8" w:color="0000FF"/>
            </w:tcBorders>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Comprehensive Income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0000FF"/>
              </w:rPr>
              <w:t>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2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Three and Six Months ended June 30, 2025 and 2024</w:t>
            </w:r>
          </w:p>
        </w:tc>
        <w:tc>
          <w:tcPr>
            <w:tcW w:w="1280" w:type="dxa"/>
            <w:vAlign w:val="bottom"/>
            <w:tcBorders>
              <w:top w:val="single" w:sz="8" w:color="0000FF"/>
            </w:tcBorders>
            <w:gridSpan w:val="7"/>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Changes in Stockholders’ Equity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0000FF"/>
              </w:rPr>
              <w:t>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2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Three and Six Months ended June 30, 2025 and 2024</w:t>
            </w:r>
          </w:p>
        </w:tc>
        <w:tc>
          <w:tcPr>
            <w:tcW w:w="1800" w:type="dxa"/>
            <w:vAlign w:val="bottom"/>
            <w:tcBorders>
              <w:top w:val="single" w:sz="8" w:color="0000FF"/>
            </w:tcBorders>
            <w:gridSpan w:val="8"/>
          </w:tcPr>
          <w:p>
            <w:pPr>
              <w:spacing w:after="0"/>
              <w:rPr>
                <w:sz w:val="11"/>
                <w:szCs w:val="11"/>
                <w:color w:val="auto"/>
              </w:rPr>
            </w:pPr>
          </w:p>
        </w:tc>
        <w:tc>
          <w:tcPr>
            <w:tcW w:w="4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Cash Flows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0000FF"/>
              </w:rPr>
              <w:t>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8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w w:val="98"/>
              </w:rPr>
              <w:t>Six Months ended June 30, 2025 and 2024</w:t>
            </w:r>
          </w:p>
        </w:tc>
        <w:tc>
          <w:tcPr>
            <w:tcW w:w="124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spacing w:after="0"/>
              <w:rPr>
                <w:sz w:val="11"/>
                <w:szCs w:val="11"/>
                <w:color w:val="auto"/>
              </w:rPr>
            </w:pPr>
          </w:p>
        </w:tc>
        <w:tc>
          <w:tcPr>
            <w:tcW w:w="396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w w:val="99"/>
              </w:rPr>
              <w:t>Notes to Unaudited Condensed Consolidated Financial Statements</w:t>
            </w:r>
          </w:p>
        </w:tc>
        <w:tc>
          <w:tcPr>
            <w:tcW w:w="5520" w:type="dxa"/>
            <w:vAlign w:val="bottom"/>
            <w:gridSpan w:val="5"/>
          </w:tcPr>
          <w:p>
            <w:pPr>
              <w:spacing w:after="0"/>
              <w:rPr>
                <w:sz w:val="13"/>
                <w:szCs w:val="13"/>
                <w:color w:val="auto"/>
              </w:rPr>
            </w:pPr>
          </w:p>
        </w:tc>
        <w:tc>
          <w:tcPr>
            <w:tcW w:w="126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0000FF"/>
                <w:w w:val="85"/>
              </w:rPr>
              <w:t>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5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Item 2 – Management’s Discussion and Analysis of Financial Condition and Results of Operations</w:t>
            </w:r>
          </w:p>
        </w:tc>
        <w:tc>
          <w:tcPr>
            <w:tcW w:w="3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51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Item 3 – Quantitative and Qualitative Disclosure about Market Risk</w:t>
            </w:r>
          </w:p>
        </w:tc>
        <w:tc>
          <w:tcPr>
            <w:tcW w:w="5700" w:type="dxa"/>
            <w:vAlign w:val="bottom"/>
            <w:gridSpan w:val="9"/>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Item 4 – Controls and Procedures</w:t>
            </w:r>
          </w:p>
        </w:tc>
        <w:tc>
          <w:tcPr>
            <w:tcW w:w="7640" w:type="dxa"/>
            <w:vAlign w:val="bottom"/>
            <w:gridSpan w:val="14"/>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8180" w:type="dxa"/>
            <w:vAlign w:val="bottom"/>
            <w:gridSpan w:val="17"/>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Item 1 – Legal Proceedings</w:t>
            </w:r>
          </w:p>
        </w:tc>
        <w:tc>
          <w:tcPr>
            <w:tcW w:w="7980" w:type="dxa"/>
            <w:vAlign w:val="bottom"/>
            <w:gridSpan w:val="15"/>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Item 1A – Risk Factors</w:t>
            </w:r>
          </w:p>
        </w:tc>
        <w:tc>
          <w:tcPr>
            <w:tcW w:w="8220" w:type="dxa"/>
            <w:vAlign w:val="bottom"/>
            <w:gridSpan w:val="18"/>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2 – Unregistered Sales of Equity Securities and Use of Proceeds</w:t>
            </w:r>
          </w:p>
        </w:tc>
        <w:tc>
          <w:tcPr>
            <w:tcW w:w="5620" w:type="dxa"/>
            <w:vAlign w:val="bottom"/>
            <w:gridSpan w:val="6"/>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Item 3 – Defaults upon Senior Securities</w:t>
            </w:r>
          </w:p>
        </w:tc>
        <w:tc>
          <w:tcPr>
            <w:tcW w:w="7240" w:type="dxa"/>
            <w:vAlign w:val="bottom"/>
            <w:gridSpan w:val="13"/>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Item 4 – Mine Safety Disclosures</w:t>
            </w:r>
          </w:p>
        </w:tc>
        <w:tc>
          <w:tcPr>
            <w:tcW w:w="7640" w:type="dxa"/>
            <w:vAlign w:val="bottom"/>
            <w:gridSpan w:val="14"/>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Item 5 – Other Information</w:t>
            </w:r>
          </w:p>
        </w:tc>
        <w:tc>
          <w:tcPr>
            <w:tcW w:w="8000" w:type="dxa"/>
            <w:vAlign w:val="bottom"/>
            <w:gridSpan w:val="16"/>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Item 6 – Exhibits</w:t>
            </w:r>
          </w:p>
        </w:tc>
        <w:tc>
          <w:tcPr>
            <w:tcW w:w="8560" w:type="dxa"/>
            <w:vAlign w:val="bottom"/>
            <w:gridSpan w:val="19"/>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24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0000FF"/>
                <w:w w:val="71"/>
              </w:rPr>
              <w:t>85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0"/>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-3873500</wp:posOffset>
            </wp:positionV>
            <wp:extent cx="222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ectPr>
          <w:pgSz w:w="11900" w:h="16838" w:orient="portrait"/>
          <w:cols w:equalWidth="0" w:num="1">
            <w:col w:w="11280"/>
          </w:cols>
          <w:pgMar w:left="300" w:top="826" w:right="319" w:bottom="1440" w:gutter="0" w:footer="0" w:header="0"/>
        </w:sectPr>
      </w:pPr>
    </w:p>
    <w:bookmarkStart w:id="2" w:name="page3"/>
    <w:bookmarkEnd w:id="2"/>
    <w:p>
      <w:pPr>
        <w:jc w:val="right"/>
        <w:ind w:right="3279"/>
        <w:spacing w:after="0"/>
        <w:rPr>
          <w:sz w:val="20"/>
          <w:szCs w:val="20"/>
          <w:color w:val="auto"/>
        </w:rPr>
      </w:pPr>
      <w:r>
        <w:rPr>
          <w:rFonts w:ascii="Times New Roman" w:cs="Times New Roman" w:eastAsia="Times New Roman" w:hAnsi="Times New Roman"/>
          <w:sz w:val="17"/>
          <w:szCs w:val="17"/>
          <w:b w:val="1"/>
          <w:bCs w:val="1"/>
          <w:color w:val="auto"/>
        </w:rPr>
        <w:t>ABBREVIATIONS/ACRONYMS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ACL or allowance </w:t>
      </w:r>
      <w:r>
        <w:rPr>
          <w:rFonts w:ascii="Times New Roman" w:cs="Times New Roman" w:eastAsia="Times New Roman" w:hAnsi="Times New Roman"/>
          <w:sz w:val="13"/>
          <w:szCs w:val="13"/>
          <w:color w:val="auto"/>
        </w:rPr>
        <w:t>– allowance for credit losses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AFS - </w:t>
      </w:r>
      <w:r>
        <w:rPr>
          <w:rFonts w:ascii="Times New Roman" w:cs="Times New Roman" w:eastAsia="Times New Roman" w:hAnsi="Times New Roman"/>
          <w:sz w:val="13"/>
          <w:szCs w:val="13"/>
          <w:color w:val="auto"/>
        </w:rPr>
        <w:t>available-for-sale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ALCO </w:t>
      </w:r>
      <w:r>
        <w:rPr>
          <w:rFonts w:ascii="Times New Roman" w:cs="Times New Roman" w:eastAsia="Times New Roman" w:hAnsi="Times New Roman"/>
          <w:sz w:val="13"/>
          <w:szCs w:val="13"/>
          <w:color w:val="auto"/>
        </w:rPr>
        <w:t>– Asset Liability Committee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ASC </w:t>
      </w:r>
      <w:r>
        <w:rPr>
          <w:rFonts w:ascii="Times New Roman" w:cs="Times New Roman" w:eastAsia="Times New Roman" w:hAnsi="Times New Roman"/>
          <w:sz w:val="13"/>
          <w:szCs w:val="13"/>
          <w:color w:val="auto"/>
        </w:rPr>
        <w:t>– Accounting Standards Codification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ASU </w:t>
      </w:r>
      <w:r>
        <w:rPr>
          <w:rFonts w:ascii="Times New Roman" w:cs="Times New Roman" w:eastAsia="Times New Roman" w:hAnsi="Times New Roman"/>
          <w:sz w:val="13"/>
          <w:szCs w:val="13"/>
          <w:color w:val="auto"/>
        </w:rPr>
        <w:t>– Accounting Standards Update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ATM </w:t>
      </w:r>
      <w:r>
        <w:rPr>
          <w:rFonts w:ascii="Times New Roman" w:cs="Times New Roman" w:eastAsia="Times New Roman" w:hAnsi="Times New Roman"/>
          <w:sz w:val="13"/>
          <w:szCs w:val="13"/>
          <w:color w:val="auto"/>
        </w:rPr>
        <w:t>– automated teller machine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Bank </w:t>
      </w:r>
      <w:r>
        <w:rPr>
          <w:rFonts w:ascii="Times New Roman" w:cs="Times New Roman" w:eastAsia="Times New Roman" w:hAnsi="Times New Roman"/>
          <w:sz w:val="13"/>
          <w:szCs w:val="13"/>
          <w:color w:val="auto"/>
        </w:rPr>
        <w:t>– Glacier Bank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BOI - </w:t>
      </w:r>
      <w:r>
        <w:rPr>
          <w:rFonts w:ascii="Times New Roman" w:cs="Times New Roman" w:eastAsia="Times New Roman" w:hAnsi="Times New Roman"/>
          <w:sz w:val="13"/>
          <w:szCs w:val="13"/>
          <w:color w:val="auto"/>
        </w:rPr>
        <w:t>Bank of Idaho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BOID - </w:t>
      </w:r>
      <w:r>
        <w:rPr>
          <w:rFonts w:ascii="Times New Roman" w:cs="Times New Roman" w:eastAsia="Times New Roman" w:hAnsi="Times New Roman"/>
          <w:sz w:val="13"/>
          <w:szCs w:val="13"/>
          <w:color w:val="auto"/>
        </w:rPr>
        <w:t>Bank of Idaho Holding 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BTFP - </w:t>
      </w:r>
      <w:r>
        <w:rPr>
          <w:rFonts w:ascii="Times New Roman" w:cs="Times New Roman" w:eastAsia="Times New Roman" w:hAnsi="Times New Roman"/>
          <w:sz w:val="13"/>
          <w:szCs w:val="13"/>
          <w:color w:val="auto"/>
        </w:rPr>
        <w:t>Bank Term Funding Program of the Federal Reserve Bank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CDE </w:t>
      </w:r>
      <w:r>
        <w:rPr>
          <w:rFonts w:ascii="Times New Roman" w:cs="Times New Roman" w:eastAsia="Times New Roman" w:hAnsi="Times New Roman"/>
          <w:sz w:val="13"/>
          <w:szCs w:val="13"/>
          <w:color w:val="auto"/>
        </w:rPr>
        <w:t>– Certified Development Entity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CDFI Fund </w:t>
      </w:r>
      <w:r>
        <w:rPr>
          <w:rFonts w:ascii="Times New Roman" w:cs="Times New Roman" w:eastAsia="Times New Roman" w:hAnsi="Times New Roman"/>
          <w:sz w:val="13"/>
          <w:szCs w:val="13"/>
          <w:color w:val="auto"/>
        </w:rPr>
        <w:t>– Community Development Financial Institutions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CECL </w:t>
      </w:r>
      <w:r>
        <w:rPr>
          <w:rFonts w:ascii="Times New Roman" w:cs="Times New Roman" w:eastAsia="Times New Roman" w:hAnsi="Times New Roman"/>
          <w:sz w:val="13"/>
          <w:szCs w:val="13"/>
          <w:color w:val="auto"/>
        </w:rPr>
        <w:t>– current expected credit losses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CEO </w:t>
      </w:r>
      <w:r>
        <w:rPr>
          <w:rFonts w:ascii="Times New Roman" w:cs="Times New Roman" w:eastAsia="Times New Roman" w:hAnsi="Times New Roman"/>
          <w:sz w:val="13"/>
          <w:szCs w:val="13"/>
          <w:color w:val="auto"/>
        </w:rPr>
        <w:t>– Chief Executive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CFO </w:t>
      </w:r>
      <w:r>
        <w:rPr>
          <w:rFonts w:ascii="Times New Roman" w:cs="Times New Roman" w:eastAsia="Times New Roman" w:hAnsi="Times New Roman"/>
          <w:sz w:val="13"/>
          <w:szCs w:val="13"/>
          <w:color w:val="auto"/>
        </w:rPr>
        <w:t>– Chief Financial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CFGW </w:t>
      </w:r>
      <w:r>
        <w:rPr>
          <w:rFonts w:ascii="Times New Roman" w:cs="Times New Roman" w:eastAsia="Times New Roman" w:hAnsi="Times New Roman"/>
          <w:sz w:val="13"/>
          <w:szCs w:val="13"/>
          <w:color w:val="auto"/>
        </w:rPr>
        <w:t>– Community Financial Group,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CRE </w:t>
      </w:r>
      <w:r>
        <w:rPr>
          <w:rFonts w:ascii="Times New Roman" w:cs="Times New Roman" w:eastAsia="Times New Roman" w:hAnsi="Times New Roman"/>
          <w:sz w:val="13"/>
          <w:szCs w:val="13"/>
          <w:color w:val="auto"/>
        </w:rPr>
        <w:t>- Commercial real estate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3"/>
          <w:szCs w:val="13"/>
          <w:color w:val="auto"/>
        </w:rPr>
        <w:t>– Glacier Bancorp,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DDA </w:t>
      </w:r>
      <w:r>
        <w:rPr>
          <w:rFonts w:ascii="Times New Roman" w:cs="Times New Roman" w:eastAsia="Times New Roman" w:hAnsi="Times New Roman"/>
          <w:sz w:val="13"/>
          <w:szCs w:val="13"/>
          <w:color w:val="auto"/>
        </w:rPr>
        <w:t>– demand deposit account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Fannie Mae </w:t>
      </w:r>
      <w:r>
        <w:rPr>
          <w:rFonts w:ascii="Times New Roman" w:cs="Times New Roman" w:eastAsia="Times New Roman" w:hAnsi="Times New Roman"/>
          <w:sz w:val="13"/>
          <w:szCs w:val="13"/>
          <w:color w:val="auto"/>
        </w:rPr>
        <w:t>– Federal National Mortgage Association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FASB </w:t>
      </w:r>
      <w:r>
        <w:rPr>
          <w:rFonts w:ascii="Times New Roman" w:cs="Times New Roman" w:eastAsia="Times New Roman" w:hAnsi="Times New Roman"/>
          <w:sz w:val="13"/>
          <w:szCs w:val="13"/>
          <w:color w:val="auto"/>
        </w:rPr>
        <w:t>– Financial Accounting Standards Board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FDIC </w:t>
      </w:r>
      <w:r>
        <w:rPr>
          <w:rFonts w:ascii="Times New Roman" w:cs="Times New Roman" w:eastAsia="Times New Roman" w:hAnsi="Times New Roman"/>
          <w:sz w:val="13"/>
          <w:szCs w:val="13"/>
          <w:color w:val="auto"/>
        </w:rPr>
        <w:t>– Federal Deposit Insurance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FHLB </w:t>
      </w:r>
      <w:r>
        <w:rPr>
          <w:rFonts w:ascii="Times New Roman" w:cs="Times New Roman" w:eastAsia="Times New Roman" w:hAnsi="Times New Roman"/>
          <w:sz w:val="13"/>
          <w:szCs w:val="13"/>
          <w:color w:val="auto"/>
        </w:rPr>
        <w:t>– Federal Home Loan Bank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Final Rules </w:t>
      </w:r>
      <w:r>
        <w:rPr>
          <w:rFonts w:ascii="Times New Roman" w:cs="Times New Roman" w:eastAsia="Times New Roman" w:hAnsi="Times New Roman"/>
          <w:sz w:val="13"/>
          <w:szCs w:val="13"/>
          <w:color w:val="auto"/>
        </w:rPr>
        <w:t>– final rules implemented by the federal banking agencies that established a</w:t>
      </w:r>
    </w:p>
    <w:p>
      <w:pPr>
        <w:ind w:left="80"/>
        <w:spacing w:after="0"/>
        <w:rPr>
          <w:sz w:val="20"/>
          <w:szCs w:val="20"/>
          <w:color w:val="auto"/>
        </w:rPr>
      </w:pPr>
      <w:r>
        <w:rPr>
          <w:rFonts w:ascii="Times New Roman" w:cs="Times New Roman" w:eastAsia="Times New Roman" w:hAnsi="Times New Roman"/>
          <w:sz w:val="13"/>
          <w:szCs w:val="13"/>
          <w:color w:val="auto"/>
        </w:rPr>
        <w:t>new comprehensive regulatory capital framework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FRB </w:t>
      </w:r>
      <w:r>
        <w:rPr>
          <w:rFonts w:ascii="Times New Roman" w:cs="Times New Roman" w:eastAsia="Times New Roman" w:hAnsi="Times New Roman"/>
          <w:sz w:val="13"/>
          <w:szCs w:val="13"/>
          <w:color w:val="auto"/>
        </w:rPr>
        <w:t>– Federal Reserve Bank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Freddie Mac </w:t>
      </w:r>
      <w:r>
        <w:rPr>
          <w:rFonts w:ascii="Times New Roman" w:cs="Times New Roman" w:eastAsia="Times New Roman" w:hAnsi="Times New Roman"/>
          <w:sz w:val="13"/>
          <w:szCs w:val="13"/>
          <w:color w:val="auto"/>
        </w:rPr>
        <w:t>– Federal Home Loan Mortgage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GAAP </w:t>
      </w:r>
      <w:r>
        <w:rPr>
          <w:rFonts w:ascii="Times New Roman" w:cs="Times New Roman" w:eastAsia="Times New Roman" w:hAnsi="Times New Roman"/>
          <w:sz w:val="13"/>
          <w:szCs w:val="13"/>
          <w:color w:val="auto"/>
        </w:rPr>
        <w:t>– accounting principles generally accepted in the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GDP </w:t>
      </w:r>
      <w:r>
        <w:rPr>
          <w:rFonts w:ascii="Times New Roman" w:cs="Times New Roman" w:eastAsia="Times New Roman" w:hAnsi="Times New Roman"/>
          <w:sz w:val="13"/>
          <w:szCs w:val="13"/>
          <w:color w:val="auto"/>
        </w:rPr>
        <w:t>– gross domestic product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Ginnie Mae </w:t>
      </w:r>
      <w:r>
        <w:rPr>
          <w:rFonts w:ascii="Times New Roman" w:cs="Times New Roman" w:eastAsia="Times New Roman" w:hAnsi="Times New Roman"/>
          <w:sz w:val="13"/>
          <w:szCs w:val="13"/>
          <w:color w:val="auto"/>
        </w:rPr>
        <w:t>– Government National Mortgage Association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HTM </w:t>
      </w:r>
      <w:r>
        <w:rPr>
          <w:rFonts w:ascii="Times New Roman" w:cs="Times New Roman" w:eastAsia="Times New Roman" w:hAnsi="Times New Roman"/>
          <w:sz w:val="13"/>
          <w:szCs w:val="13"/>
          <w:color w:val="auto"/>
        </w:rPr>
        <w:t>- Held-to-maturity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Interest rate locks - </w:t>
      </w:r>
      <w:r>
        <w:rPr>
          <w:rFonts w:ascii="Times New Roman" w:cs="Times New Roman" w:eastAsia="Times New Roman" w:hAnsi="Times New Roman"/>
          <w:sz w:val="13"/>
          <w:szCs w:val="13"/>
          <w:color w:val="auto"/>
        </w:rPr>
        <w:t>residential real estate derivatives for commitments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LIBOR </w:t>
      </w:r>
      <w:r>
        <w:rPr>
          <w:rFonts w:ascii="Times New Roman" w:cs="Times New Roman" w:eastAsia="Times New Roman" w:hAnsi="Times New Roman"/>
          <w:sz w:val="13"/>
          <w:szCs w:val="13"/>
          <w:color w:val="auto"/>
        </w:rPr>
        <w:t>– London Interbank Offered Rate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LIHTC </w:t>
      </w:r>
      <w:r>
        <w:rPr>
          <w:rFonts w:ascii="Times New Roman" w:cs="Times New Roman" w:eastAsia="Times New Roman" w:hAnsi="Times New Roman"/>
          <w:sz w:val="13"/>
          <w:szCs w:val="13"/>
          <w:color w:val="auto"/>
        </w:rPr>
        <w:t>– Low Income Housing Tax Credit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MBFD </w:t>
      </w:r>
      <w:r>
        <w:rPr>
          <w:rFonts w:ascii="Times New Roman" w:cs="Times New Roman" w:eastAsia="Times New Roman" w:hAnsi="Times New Roman"/>
          <w:sz w:val="13"/>
          <w:szCs w:val="13"/>
          <w:color w:val="auto"/>
        </w:rPr>
        <w:t>- Modifications to borrowers experiencing financial difficulty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NMTC </w:t>
      </w:r>
      <w:r>
        <w:rPr>
          <w:rFonts w:ascii="Times New Roman" w:cs="Times New Roman" w:eastAsia="Times New Roman" w:hAnsi="Times New Roman"/>
          <w:sz w:val="13"/>
          <w:szCs w:val="13"/>
          <w:color w:val="auto"/>
        </w:rPr>
        <w:t>– New Markets Tax Credit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NOW </w:t>
      </w:r>
      <w:r>
        <w:rPr>
          <w:rFonts w:ascii="Times New Roman" w:cs="Times New Roman" w:eastAsia="Times New Roman" w:hAnsi="Times New Roman"/>
          <w:sz w:val="13"/>
          <w:szCs w:val="13"/>
          <w:color w:val="auto"/>
        </w:rPr>
        <w:t>– negotiable order of withdrawal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NRSRO </w:t>
      </w:r>
      <w:r>
        <w:rPr>
          <w:rFonts w:ascii="Times New Roman" w:cs="Times New Roman" w:eastAsia="Times New Roman" w:hAnsi="Times New Roman"/>
          <w:sz w:val="13"/>
          <w:szCs w:val="13"/>
          <w:color w:val="auto"/>
        </w:rPr>
        <w:t>– Nationally Recognized Statistical Rating Organizations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OCI </w:t>
      </w:r>
      <w:r>
        <w:rPr>
          <w:rFonts w:ascii="Times New Roman" w:cs="Times New Roman" w:eastAsia="Times New Roman" w:hAnsi="Times New Roman"/>
          <w:sz w:val="13"/>
          <w:szCs w:val="13"/>
          <w:color w:val="auto"/>
        </w:rPr>
        <w:t>– other comprehensive income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OREO </w:t>
      </w:r>
      <w:r>
        <w:rPr>
          <w:rFonts w:ascii="Times New Roman" w:cs="Times New Roman" w:eastAsia="Times New Roman" w:hAnsi="Times New Roman"/>
          <w:sz w:val="13"/>
          <w:szCs w:val="13"/>
          <w:color w:val="auto"/>
        </w:rPr>
        <w:t>– other real estate owned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PCD </w:t>
      </w:r>
      <w:r>
        <w:rPr>
          <w:rFonts w:ascii="Times New Roman" w:cs="Times New Roman" w:eastAsia="Times New Roman" w:hAnsi="Times New Roman"/>
          <w:sz w:val="13"/>
          <w:szCs w:val="13"/>
          <w:color w:val="auto"/>
        </w:rPr>
        <w:t>– purchased credit-deteriorated</w:t>
      </w:r>
    </w:p>
    <w:p>
      <w:pPr>
        <w:spacing w:after="0" w:line="22" w:lineRule="exact"/>
        <w:rPr>
          <w:sz w:val="20"/>
          <w:szCs w:val="20"/>
          <w:color w:val="auto"/>
        </w:rPr>
      </w:pPr>
    </w:p>
    <w:p>
      <w:pPr>
        <w:ind w:left="280" w:hanging="271"/>
        <w:spacing w:after="0"/>
        <w:tabs>
          <w:tab w:leader="none" w:pos="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Paycheck Protection Program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Repurchase agreements </w:t>
      </w:r>
      <w:r>
        <w:rPr>
          <w:rFonts w:ascii="Times New Roman" w:cs="Times New Roman" w:eastAsia="Times New Roman" w:hAnsi="Times New Roman"/>
          <w:sz w:val="13"/>
          <w:szCs w:val="13"/>
          <w:color w:val="auto"/>
        </w:rPr>
        <w:t>– securities sold under agreements to repurchase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13"/>
          <w:szCs w:val="13"/>
          <w:color w:val="auto"/>
        </w:rPr>
        <w:t>– Rocky Mountain Bank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ROU </w:t>
      </w:r>
      <w:r>
        <w:rPr>
          <w:rFonts w:ascii="Times New Roman" w:cs="Times New Roman" w:eastAsia="Times New Roman" w:hAnsi="Times New Roman"/>
          <w:sz w:val="13"/>
          <w:szCs w:val="13"/>
          <w:color w:val="auto"/>
        </w:rPr>
        <w:t>– right-of-use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S&amp;P </w:t>
      </w:r>
      <w:r>
        <w:rPr>
          <w:rFonts w:ascii="Times New Roman" w:cs="Times New Roman" w:eastAsia="Times New Roman" w:hAnsi="Times New Roman"/>
          <w:sz w:val="13"/>
          <w:szCs w:val="13"/>
          <w:color w:val="auto"/>
        </w:rPr>
        <w:t>– Standard and Poor’s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SBA </w:t>
      </w:r>
      <w:r>
        <w:rPr>
          <w:rFonts w:ascii="Times New Roman" w:cs="Times New Roman" w:eastAsia="Times New Roman" w:hAnsi="Times New Roman"/>
          <w:sz w:val="13"/>
          <w:szCs w:val="13"/>
          <w:color w:val="auto"/>
        </w:rPr>
        <w:t>– United States Small Business Administration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SEC </w:t>
      </w:r>
      <w:r>
        <w:rPr>
          <w:rFonts w:ascii="Times New Roman" w:cs="Times New Roman" w:eastAsia="Times New Roman" w:hAnsi="Times New Roman"/>
          <w:sz w:val="13"/>
          <w:szCs w:val="13"/>
          <w:color w:val="auto"/>
        </w:rPr>
        <w:t>– United States Securities and Exchange Commission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TBA </w:t>
      </w:r>
      <w:r>
        <w:rPr>
          <w:rFonts w:ascii="Times New Roman" w:cs="Times New Roman" w:eastAsia="Times New Roman" w:hAnsi="Times New Roman"/>
          <w:sz w:val="13"/>
          <w:szCs w:val="13"/>
          <w:color w:val="auto"/>
        </w:rPr>
        <w:t>– to-be-announced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VIE </w:t>
      </w:r>
      <w:r>
        <w:rPr>
          <w:rFonts w:ascii="Times New Roman" w:cs="Times New Roman" w:eastAsia="Times New Roman" w:hAnsi="Times New Roman"/>
          <w:sz w:val="13"/>
          <w:szCs w:val="13"/>
          <w:color w:val="auto"/>
        </w:rPr>
        <w:t>– 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789940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799"/>
          </w:cols>
          <w:pgMar w:left="660" w:top="82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CONDITION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June 30,</w:t>
            </w:r>
          </w:p>
        </w:tc>
        <w:tc>
          <w:tcPr>
            <w:tcW w:w="16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 except share and per share data)</w:t>
            </w:r>
          </w:p>
        </w:tc>
        <w:tc>
          <w:tcPr>
            <w:tcW w:w="340" w:type="dxa"/>
            <w:vAlign w:val="bottom"/>
          </w:tcPr>
          <w:p>
            <w:pPr>
              <w:spacing w:after="0"/>
              <w:rPr>
                <w:sz w:val="12"/>
                <w:szCs w:val="12"/>
                <w:color w:val="auto"/>
              </w:rPr>
            </w:pPr>
          </w:p>
        </w:tc>
        <w:tc>
          <w:tcPr>
            <w:tcW w:w="1300" w:type="dxa"/>
            <w:vAlign w:val="bottom"/>
          </w:tcPr>
          <w:p>
            <w:pPr>
              <w:jc w:val="right"/>
              <w:ind w:right="60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640" w:type="dxa"/>
            <w:vAlign w:val="bottom"/>
          </w:tcPr>
          <w:p>
            <w:pPr>
              <w:jc w:val="right"/>
              <w:ind w:right="60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Cash on hand and in banks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375,398</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268,746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bearing cash deposits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540,109</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915,507</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Debt securities, available for sale</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4,024,980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Debt securities, held to maturity</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3,206,133</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debt securities</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7,231,113</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7,540,052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47,738</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receivable</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18,532,740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(226,799)</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Loans receivable, net</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18,305,941</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426,801</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411,968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Right of use assets, net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real estate owned and foreclosed assets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108,286</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Deferred tax asset, net</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114,528</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138,955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Intangibles, net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1,121,401</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1,051,318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Non-marketable equity securities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76,990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Bank-owned life insurance</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191,623</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189,849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341,702</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29,004,983</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27,902,987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8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6,593,728</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6,136,709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15,034,774</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14,410,285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1,976,228</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1,777,475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1,255,088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borrowed funds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62,366</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Subordinated debentures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157,127</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27,973</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42,274</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303,756</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264,690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25,472,719</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24,679,133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Contingent Liabilities</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Preferred shares, $0.01 par value per share, 1,000,000 shares authorized, none issued or outstanding</w:t>
            </w: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8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color w:val="auto"/>
              </w:rPr>
              <w:t>Common stock, $0.01 par value per share, 234,000,000 shares authorized at</w:t>
            </w: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Paid-in capital</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2,655,894</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2,448,758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1,113,839</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1,083,258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3,532,264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3,223,854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29,004,983</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27,902,987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Number of common stock shares issued and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78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118,550,475</w:t>
            </w:r>
          </w:p>
        </w:tc>
        <w:tc>
          <w:tcPr>
            <w:tcW w:w="100" w:type="dxa"/>
            <w:vAlign w:val="bottom"/>
          </w:tcPr>
          <w:p>
            <w:pPr>
              <w:spacing w:after="0"/>
              <w:rPr>
                <w:sz w:val="12"/>
                <w:szCs w:val="12"/>
                <w:color w:val="auto"/>
              </w:rPr>
            </w:pPr>
          </w:p>
        </w:tc>
        <w:tc>
          <w:tcPr>
            <w:tcW w:w="1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113,401,955</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Six Months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Pr>
          <w:p>
            <w:pPr>
              <w:jc w:val="right"/>
              <w:ind w:right="509"/>
              <w:spacing w:after="0" w:line="135" w:lineRule="exact"/>
              <w:rPr>
                <w:sz w:val="20"/>
                <w:szCs w:val="20"/>
                <w:color w:val="auto"/>
              </w:rPr>
            </w:pPr>
            <w:r>
              <w:rPr>
                <w:rFonts w:ascii="Times New Roman" w:cs="Times New Roman" w:eastAsia="Times New Roman" w:hAnsi="Times New Roman"/>
                <w:sz w:val="14"/>
                <w:szCs w:val="14"/>
                <w:color w:val="auto"/>
                <w:w w:val="98"/>
              </w:rPr>
              <w:t>June 30,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tcPr>
          <w:p>
            <w:pPr>
              <w:ind w:left="200"/>
              <w:spacing w:after="0" w:line="135" w:lineRule="exact"/>
              <w:rPr>
                <w:sz w:val="20"/>
                <w:szCs w:val="20"/>
                <w:color w:val="auto"/>
              </w:rPr>
            </w:pPr>
            <w:r>
              <w:rPr>
                <w:rFonts w:ascii="Times New Roman" w:cs="Times New Roman" w:eastAsia="Times New Roman" w:hAnsi="Times New Roman"/>
                <w:sz w:val="14"/>
                <w:szCs w:val="14"/>
                <w:color w:val="auto"/>
              </w:rPr>
              <w:t>June 30,</w:t>
            </w:r>
          </w:p>
        </w:tc>
        <w:tc>
          <w:tcPr>
            <w:tcW w:w="940" w:type="dxa"/>
            <w:vAlign w:val="bottom"/>
          </w:tcPr>
          <w:p>
            <w:pPr>
              <w:jc w:val="right"/>
              <w:ind w:right="409"/>
              <w:spacing w:after="0" w:line="135" w:lineRule="exact"/>
              <w:rPr>
                <w:sz w:val="20"/>
                <w:szCs w:val="20"/>
                <w:color w:val="auto"/>
              </w:rPr>
            </w:pPr>
            <w:r>
              <w:rPr>
                <w:rFonts w:ascii="Times New Roman" w:cs="Times New Roman" w:eastAsia="Times New Roman" w:hAnsi="Times New Roman"/>
                <w:sz w:val="14"/>
                <w:szCs w:val="14"/>
                <w:color w:val="auto"/>
                <w:w w:val="94"/>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 except share and per share data)</w:t>
            </w:r>
          </w:p>
        </w:tc>
        <w:tc>
          <w:tcPr>
            <w:tcW w:w="340" w:type="dxa"/>
            <w:vAlign w:val="bottom"/>
          </w:tcPr>
          <w:p>
            <w:pPr>
              <w:spacing w:after="0"/>
              <w:rPr>
                <w:sz w:val="12"/>
                <w:szCs w:val="12"/>
                <w:color w:val="auto"/>
              </w:rPr>
            </w:pPr>
          </w:p>
        </w:tc>
        <w:tc>
          <w:tcPr>
            <w:tcW w:w="1300" w:type="dxa"/>
            <w:vAlign w:val="bottom"/>
          </w:tcPr>
          <w:p>
            <w:pPr>
              <w:jc w:val="right"/>
              <w:ind w:right="60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58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8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48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Investment securities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42,165</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89,794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Commercial loans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214,816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369,798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46,406</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42,537</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interest income</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308,115</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273,834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598,040</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553,236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128,434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135,048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FRB Bank Term Funding</w:t>
            </w:r>
          </w:p>
        </w:tc>
        <w:tc>
          <w:tcPr>
            <w:tcW w:w="34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borrowed funds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Subordinated debentures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interest expense</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100,499</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107,356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200,445</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220,278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207,616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397,595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332,958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28,081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187,349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162,960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369,514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 charges and other fees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Miscellaneous loan fees and charges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loans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(Loss) gain on sale of securities</w:t>
            </w:r>
          </w:p>
        </w:tc>
        <w:tc>
          <w:tcPr>
            <w:tcW w:w="340" w:type="dxa"/>
            <w:vAlign w:val="bottom"/>
          </w:tcPr>
          <w:p>
            <w:pPr>
              <w:spacing w:after="0"/>
              <w:rPr>
                <w:sz w:val="15"/>
                <w:szCs w:val="15"/>
                <w:color w:val="auto"/>
              </w:rPr>
            </w:pPr>
          </w:p>
        </w:tc>
        <w:tc>
          <w:tcPr>
            <w:tcW w:w="19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32,944</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32,204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65,586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62,193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185,798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Occupancy and equipment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Advertising and promotions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Data processing</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real estate owned and foreclosed assets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Regulatory assessments and insurance</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Intangibles amortization</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expenses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53,099</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155,119</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140,952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306,437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292,795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128,663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Federal and state income tax expense</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340" w:type="dxa"/>
            <w:vAlign w:val="bottom"/>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0.93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outstanding shares - basic</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116,890,776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113,390,539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115,180,489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112,941,341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outstanding shares - diluted</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116,918,290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113,405,491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115,244,550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112,981,531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 w:name="page6"/>
    <w:bookmarkEnd w:id="5"/>
    <w:p>
      <w:pPr>
        <w:ind w:left="4680"/>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42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96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w w:val="98"/>
              </w:rPr>
              <w:t>June 30,</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800" w:type="dxa"/>
            <w:vAlign w:val="bottom"/>
            <w:gridSpan w:val="3"/>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77,335</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Available-For-Sale and Transferred Securities: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gains on available-for-sale securities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91,890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25,595</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Reclassification adjustment for gains included in net income</w:t>
            </w:r>
          </w:p>
        </w:tc>
        <w:tc>
          <w:tcPr>
            <w:tcW w:w="108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38"/>
        </w:trPr>
        <w:tc>
          <w:tcPr>
            <w:tcW w:w="20" w:type="dxa"/>
            <w:vAlign w:val="bottom"/>
          </w:tcPr>
          <w:p>
            <w:pPr>
              <w:spacing w:after="0"/>
              <w:rPr>
                <w:sz w:val="11"/>
                <w:szCs w:val="11"/>
                <w:color w:val="auto"/>
              </w:rPr>
            </w:pPr>
          </w:p>
        </w:tc>
        <w:tc>
          <w:tcPr>
            <w:tcW w:w="482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4"/>
                <w:szCs w:val="14"/>
                <w:color w:val="auto"/>
              </w:rPr>
              <w:t>Reclassification adjustment for securities transferred from available-for-sale to</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48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held-to-maturity</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r>
      <w:tr>
        <w:trPr>
          <w:trHeight w:val="181"/>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effect</w:t>
            </w: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(6,926)</w:t>
            </w:r>
          </w:p>
        </w:tc>
      </w:tr>
      <w:tr>
        <w:trPr>
          <w:trHeight w:val="171"/>
        </w:trPr>
        <w:tc>
          <w:tcPr>
            <w:tcW w:w="2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Net of tax amount</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24,456</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71,181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20,677</w:t>
            </w:r>
          </w:p>
        </w:tc>
      </w:tr>
      <w:tr>
        <w:trPr>
          <w:trHeight w:val="160"/>
        </w:trPr>
        <w:tc>
          <w:tcPr>
            <w:tcW w:w="2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Flow Hedge:</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gains (losses) on derivatives used for cash flow hedges</w:t>
            </w:r>
          </w:p>
        </w:tc>
        <w:tc>
          <w:tcPr>
            <w:tcW w:w="1080" w:type="dxa"/>
            <w:vAlign w:val="bottom"/>
          </w:tcPr>
          <w:p>
            <w:pPr>
              <w:spacing w:after="0"/>
              <w:rPr>
                <w:sz w:val="15"/>
                <w:szCs w:val="15"/>
                <w:color w:val="auto"/>
              </w:rPr>
            </w:pPr>
          </w:p>
        </w:tc>
        <w:tc>
          <w:tcPr>
            <w:tcW w:w="1800" w:type="dxa"/>
            <w:vAlign w:val="bottom"/>
            <w:gridSpan w:val="3"/>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Reclassification adjustment for gains included in net income</w:t>
            </w:r>
          </w:p>
        </w:tc>
        <w:tc>
          <w:tcPr>
            <w:tcW w:w="108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Tax effect</w:t>
            </w:r>
          </w:p>
        </w:tc>
        <w:tc>
          <w:tcPr>
            <w:tcW w:w="1080" w:type="dxa"/>
            <w:vAlign w:val="bottom"/>
          </w:tcPr>
          <w:p>
            <w:pPr>
              <w:spacing w:after="0"/>
              <w:rPr>
                <w:sz w:val="15"/>
                <w:szCs w:val="15"/>
                <w:color w:val="auto"/>
              </w:rPr>
            </w:pPr>
          </w:p>
        </w:tc>
        <w:tc>
          <w:tcPr>
            <w:tcW w:w="1800" w:type="dxa"/>
            <w:vAlign w:val="bottom"/>
            <w:gridSpan w:val="3"/>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82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of tax amount</w:t>
            </w:r>
          </w:p>
        </w:tc>
        <w:tc>
          <w:tcPr>
            <w:tcW w:w="10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r>
      <w:tr>
        <w:trPr>
          <w:trHeight w:val="171"/>
        </w:trPr>
        <w:tc>
          <w:tcPr>
            <w:tcW w:w="2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4"/>
                <w:szCs w:val="14"/>
                <w:color w:val="auto"/>
              </w:rPr>
              <w:t>Total other comprehensive income, net of tax</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24,456</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70,641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19,462</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77,237</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177,990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2" w:right="319" w:bottom="1440" w:gutter="0" w:footer="0" w:header="0"/>
        </w:sectPr>
      </w:pPr>
    </w:p>
    <w:bookmarkStart w:id="6" w:name="page7"/>
    <w:bookmarkEnd w:id="6"/>
    <w:p>
      <w:pPr>
        <w:ind w:left="4680"/>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2025 and 2024</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160" w:type="dxa"/>
            <w:vAlign w:val="bottom"/>
            <w:gridSpan w:val="3"/>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160" w:type="dxa"/>
            <w:vAlign w:val="bottom"/>
            <w:tcBorders>
              <w:bottom w:val="single" w:sz="8" w:color="auto"/>
            </w:tcBorders>
            <w:gridSpan w:val="3"/>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42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2"/>
                <w:szCs w:val="12"/>
                <w:color w:val="auto"/>
              </w:rPr>
              <w:t>Other Compre-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 except share and per share data)</w:t>
            </w:r>
          </w:p>
        </w:tc>
        <w:tc>
          <w:tcPr>
            <w:tcW w:w="1320" w:type="dxa"/>
            <w:vAlign w:val="bottom"/>
            <w:gridSpan w:val="2"/>
          </w:tcPr>
          <w:p>
            <w:pPr>
              <w:ind w:left="42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Paid-in Capital</w:t>
            </w:r>
          </w:p>
        </w:tc>
        <w:tc>
          <w:tcPr>
            <w:tcW w:w="1400" w:type="dxa"/>
            <w:vAlign w:val="bottom"/>
            <w:gridSpan w:val="2"/>
          </w:tcPr>
          <w:p>
            <w:pPr>
              <w:ind w:left="400"/>
              <w:spacing w:after="0" w:line="130" w:lineRule="exact"/>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color w:val="auto"/>
                <w:w w:val="98"/>
              </w:rPr>
              <w:t>hensive Loss</w:t>
            </w:r>
          </w:p>
        </w:tc>
        <w:tc>
          <w:tcPr>
            <w:tcW w:w="1220" w:type="dxa"/>
            <w:vAlign w:val="bottom"/>
          </w:tcPr>
          <w:p>
            <w:pPr>
              <w:jc w:val="right"/>
              <w:ind w:right="389"/>
              <w:spacing w:after="0" w:line="13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April 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113,388,590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2,443,584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1,038,294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(372,305)</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17,654</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 declared ($0.33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(37,519)</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issuances under stock incentive plans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and related taxes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113,394,092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2,445,479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1,045,483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3,137,445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April 1, 2025</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240" w:type="dxa"/>
            <w:vAlign w:val="bottom"/>
            <w:gridSpan w:val="2"/>
            <w:vMerge w:val="continue"/>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113,517,944</w:t>
            </w:r>
          </w:p>
        </w:tc>
        <w:tc>
          <w:tcPr>
            <w:tcW w:w="100" w:type="dxa"/>
            <w:vAlign w:val="bottom"/>
          </w:tcPr>
          <w:p>
            <w:pPr>
              <w:spacing w:after="0"/>
              <w:rPr>
                <w:sz w:val="12"/>
                <w:szCs w:val="12"/>
                <w:color w:val="auto"/>
              </w:rPr>
            </w:pPr>
          </w:p>
        </w:tc>
        <w:tc>
          <w:tcPr>
            <w:tcW w:w="840" w:type="dxa"/>
            <w:vAlign w:val="bottom"/>
          </w:tcPr>
          <w:p>
            <w:pPr>
              <w:jc w:val="right"/>
              <w:ind w:right="6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2,449,311</w:t>
            </w:r>
          </w:p>
        </w:tc>
        <w:tc>
          <w:tcPr>
            <w:tcW w:w="100" w:type="dxa"/>
            <w:vAlign w:val="bottom"/>
          </w:tcPr>
          <w:p>
            <w:pPr>
              <w:spacing w:after="0"/>
              <w:rPr>
                <w:sz w:val="12"/>
                <w:szCs w:val="12"/>
                <w:color w:val="auto"/>
              </w:rPr>
            </w:pP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1,100,273</w:t>
            </w:r>
          </w:p>
        </w:tc>
        <w:tc>
          <w:tcPr>
            <w:tcW w:w="100" w:type="dxa"/>
            <w:vAlign w:val="bottom"/>
          </w:tcPr>
          <w:p>
            <w:pPr>
              <w:spacing w:after="0"/>
              <w:rPr>
                <w:sz w:val="12"/>
                <w:szCs w:val="12"/>
                <w:color w:val="auto"/>
              </w:rPr>
            </w:pPr>
          </w:p>
        </w:tc>
        <w:tc>
          <w:tcPr>
            <w:tcW w:w="1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(263,111)</w:t>
            </w:r>
          </w:p>
        </w:tc>
        <w:tc>
          <w:tcPr>
            <w:tcW w:w="10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3,287,608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24,456</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declared ($0.33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issued in connection with acquisitions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5,029,102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204,936</w:t>
            </w:r>
          </w:p>
        </w:tc>
        <w:tc>
          <w:tcPr>
            <w:tcW w:w="10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204,987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issuances under stock incentive plans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and related taxes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118,550,475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2,655,894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1,113,839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3,532,264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7" w:name="page8"/>
    <w:bookmarkEnd w:id="7"/>
    <w:p>
      <w:pPr>
        <w:ind w:left="4680"/>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2025 and 2024</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160" w:type="dxa"/>
            <w:vAlign w:val="bottom"/>
            <w:gridSpan w:val="3"/>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160" w:type="dxa"/>
            <w:vAlign w:val="bottom"/>
            <w:tcBorders>
              <w:bottom w:val="single" w:sz="8" w:color="auto"/>
            </w:tcBorders>
            <w:gridSpan w:val="3"/>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42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2"/>
                <w:szCs w:val="12"/>
                <w:color w:val="auto"/>
              </w:rPr>
              <w:t>Other Compre-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 except share and per share data)</w:t>
            </w:r>
          </w:p>
        </w:tc>
        <w:tc>
          <w:tcPr>
            <w:tcW w:w="1320" w:type="dxa"/>
            <w:vAlign w:val="bottom"/>
            <w:gridSpan w:val="2"/>
          </w:tcPr>
          <w:p>
            <w:pPr>
              <w:ind w:left="42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Paid-in Capital</w:t>
            </w:r>
          </w:p>
        </w:tc>
        <w:tc>
          <w:tcPr>
            <w:tcW w:w="1400" w:type="dxa"/>
            <w:vAlign w:val="bottom"/>
            <w:gridSpan w:val="2"/>
          </w:tcPr>
          <w:p>
            <w:pPr>
              <w:ind w:left="400"/>
              <w:spacing w:after="0" w:line="130" w:lineRule="exact"/>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color w:val="auto"/>
                <w:w w:val="98"/>
              </w:rPr>
              <w:t>hensive Loss</w:t>
            </w:r>
          </w:p>
        </w:tc>
        <w:tc>
          <w:tcPr>
            <w:tcW w:w="1220" w:type="dxa"/>
            <w:vAlign w:val="bottom"/>
          </w:tcPr>
          <w:p>
            <w:pPr>
              <w:jc w:val="right"/>
              <w:ind w:right="389"/>
              <w:spacing w:after="0" w:line="13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110,888,942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2,350,104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1,043,181</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(374,113)</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3,020,281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77,335</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 declared ($0.66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(75,033)</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issued in connection with acquisitions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2,389,684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92,361</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issuances under stock incentive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115,466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and related taxes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113,394,092</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2,445,479</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1,045,483</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(354,651)</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3,137,445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113,401,955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2,448,758</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1,083,258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(309,296)</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107,349</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107,349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70,641</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 declared ($0.66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(76,768)</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issued in connection with acquisitions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5,029,102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204,936</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issuances under stock incentive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119,418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and related taxes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118,550,475</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2,655,894</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1,113,839</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Six Months ended</w:t>
            </w:r>
          </w:p>
        </w:tc>
        <w:tc>
          <w:tcPr>
            <w:tcW w:w="1120" w:type="dxa"/>
            <w:vAlign w:val="bottom"/>
            <w:tcBorders>
              <w:bottom w:val="single" w:sz="8" w:color="auto"/>
            </w:tcBorders>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060" w:type="dxa"/>
            <w:vAlign w:val="bottom"/>
          </w:tcPr>
          <w:p>
            <w:pPr>
              <w:jc w:val="center"/>
              <w:ind w:left="509"/>
              <w:spacing w:after="0" w:line="135" w:lineRule="exact"/>
              <w:rPr>
                <w:sz w:val="20"/>
                <w:szCs w:val="20"/>
                <w:color w:val="auto"/>
              </w:rPr>
            </w:pPr>
            <w:r>
              <w:rPr>
                <w:rFonts w:ascii="Times New Roman" w:cs="Times New Roman" w:eastAsia="Times New Roman" w:hAnsi="Times New Roman"/>
                <w:sz w:val="14"/>
                <w:szCs w:val="14"/>
                <w:color w:val="auto"/>
              </w:rPr>
              <w:t>June 30,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jc w:val="right"/>
              <w:ind w:right="509"/>
              <w:spacing w:after="0" w:line="135" w:lineRule="exact"/>
              <w:rPr>
                <w:sz w:val="20"/>
                <w:szCs w:val="20"/>
                <w:color w:val="auto"/>
              </w:rPr>
            </w:pPr>
            <w:r>
              <w:rPr>
                <w:rFonts w:ascii="Times New Roman" w:cs="Times New Roman" w:eastAsia="Times New Roman" w:hAnsi="Times New Roman"/>
                <w:sz w:val="14"/>
                <w:szCs w:val="14"/>
                <w:color w:val="auto"/>
              </w:rPr>
              <w:t>June 30,</w:t>
            </w:r>
          </w:p>
        </w:tc>
      </w:tr>
      <w:tr>
        <w:trPr>
          <w:trHeight w:val="142"/>
        </w:trPr>
        <w:tc>
          <w:tcPr>
            <w:tcW w:w="20" w:type="dxa"/>
            <w:vAlign w:val="bottom"/>
          </w:tcPr>
          <w:p>
            <w:pPr>
              <w:spacing w:after="0"/>
              <w:rPr>
                <w:sz w:val="12"/>
                <w:szCs w:val="12"/>
                <w:color w:val="auto"/>
              </w:rPr>
            </w:pPr>
          </w:p>
        </w:tc>
        <w:tc>
          <w:tcPr>
            <w:tcW w:w="78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1060" w:type="dxa"/>
            <w:vAlign w:val="bottom"/>
          </w:tcPr>
          <w:p>
            <w:pPr>
              <w:jc w:val="right"/>
              <w:ind w:right="2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ind w:right="609"/>
              <w:spacing w:after="0" w:line="122"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107,349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77,335</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11,767</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amortization of debt securities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amortization of purchase accounting adjustments and deferred loan fees and costs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Origination of loans held for sale</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(349,991)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(292,073)</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Proceeds from loans held for sale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343,897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295,111</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Gain on sale of loans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Gain on sale of securities</w:t>
            </w:r>
          </w:p>
        </w:tc>
        <w:tc>
          <w:tcPr>
            <w:tcW w:w="106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Bank-owned life insurance income, net</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Stock-based compensation, net of tax benefits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14,334</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Gain on dispositions of premises and equipment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Loss on sale and write-downs of other real estate owned, net</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Amortization of core deposit and other intangibles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Amortization of investments in variable interest entities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13,041</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increase in accrued interest receivable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(increase) decrease in other assets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decrease in accrued interest payable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(95,509)</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 operating lease liabilities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r>
      <w:tr>
        <w:trPr>
          <w:trHeight w:val="180"/>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Net decrease in other liabilities</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(14,129)</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138,479</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r>
      <w:tr>
        <w:trPr>
          <w:trHeight w:val="160"/>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Sales of debt securities, available-for-sale</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120,245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160,558</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Maturities, prepayments and calls of available-for-sale debt securities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359,587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316,640</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available-for-sale debt securities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Maturities, prepayments and calls of held-to-maturity debt securities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102,356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100,011</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held-to-maturity debt securities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change in loans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(198,386)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(231,553)</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sale of premises and equipment</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additions to premises and equipment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(25,212)</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sale of other real estate owned</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Proceeds from redemption of non-marketable equity securities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109,634</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non-marketable equity securities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(214,825)</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Investments in variable interest entities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(27,909)</w:t>
            </w:r>
          </w:p>
        </w:tc>
      </w:tr>
      <w:tr>
        <w:trPr>
          <w:trHeight w:val="180"/>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Net cash received from acquisitions</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26,125</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30,903</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361,497</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223,271</w:t>
            </w: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3"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 (Continued)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color w:val="auto"/>
              </w:rPr>
              <w:t>Six Months ended</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20" w:type="dxa"/>
            <w:vAlign w:val="bottom"/>
            <w:gridSpan w:val="3"/>
          </w:tcPr>
          <w:p>
            <w:pPr>
              <w:ind w:left="24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increase (decrease) in deposits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(443,951)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increase in securities sold under agreements to repurchase</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198,753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(decrease) increase in short-term Federal Home Loan Bank advances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Repayments of short-term FRB Bank Term Funding</w:t>
            </w:r>
          </w:p>
        </w:tc>
        <w:tc>
          <w:tcPr>
            <w:tcW w:w="340" w:type="dxa"/>
            <w:vAlign w:val="bottom"/>
            <w:shd w:val="clear" w:color="auto" w:fill="CCEEFF"/>
          </w:tcPr>
          <w:p>
            <w:pPr>
              <w:spacing w:after="0"/>
              <w:rPr>
                <w:sz w:val="15"/>
                <w:szCs w:val="15"/>
                <w:color w:val="auto"/>
              </w:rPr>
            </w:pPr>
          </w:p>
        </w:tc>
        <w:tc>
          <w:tcPr>
            <w:tcW w:w="19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Proceeds from long-term Federal Home Loan Bank advances</w:t>
            </w:r>
          </w:p>
        </w:tc>
        <w:tc>
          <w:tcPr>
            <w:tcW w:w="340" w:type="dxa"/>
            <w:vAlign w:val="bottom"/>
          </w:tcPr>
          <w:p>
            <w:pPr>
              <w:spacing w:after="0"/>
              <w:rPr>
                <w:sz w:val="15"/>
                <w:szCs w:val="15"/>
                <w:color w:val="auto"/>
              </w:rPr>
            </w:pP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Repayments of long-term Federal Home Loan Bank advances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increase in other borrowed funds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 payments on finance lease liabilities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Cash dividends paid</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withholding payments for stock-based compensation</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(432,877)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(782,777)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(553,563)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Cash, cash equivalents at beginning of period</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8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cash equivalents at end of period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915,507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78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207,982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Sale and refinancing of other real estate owned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Transfer of loans to other real estate owned</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Right-of-use assets obtained in exchange for new lease liabilities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investments obtained in exchange for delayed equity contributions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Dividends declared during the period but not paid</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Fair value of common stock shares issued</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204,986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Cash consideration</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1,364,640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777,659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Liabilities assumed</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1,159,652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GLACIER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 and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General</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Glacier Bancorp, Inc. (“Company”) is a Montana corporation headquartered in Kalispell, Montana. The Company provides a full range of banking services to individuals and businesses in Montana, Idaho, Utah, Washington, Wyoming, Colorado, Arizona and Nevada through its wholly-owned bank subsidiary, Glacier Bank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opinion of management, the accompanying unaudited condensed consolidated financial statements reflect all adjustments necessary for a fair presentation of the results for the interim periods. All such adjustments are of a normal recurring nature. These interim consolidated financial statements do not include all of the information and footnotes required by accounting principles generally accepted in the United States of America (“GAAP”) for complete financial statements and they should be read in conjunction with the consolidated financial statements and notes thereto contained in the Company’s Annual Report on Form 10-K for the year ended December 31, 2024. Operating results for the six months ended June 30, 2025 are not necessarily indicative of the results anticipated for the year ending December 31, 2025. The condensed consolidated statement of financial condition of the Company as of December 31, 2024 has been derived from the audited consolidated statements of the Company as of that date.</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a defendant in legal proceedings arising in the normal course of business. In the opinion of management, the disposition of pending litigation will not have a material affect on the Company’s consolidated financial position, results of operations or liquidity.</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Material estimates that are particularly susceptible to significant change include: 1) the determination of the allowance for credit losses (“ACL” or “allowance”) on loans; 2) the valuation of debt securities; and 3) the evaluation of goodwill impairment. For the determination of the ACL on certain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market-based inputs.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Principles of Consolidation</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consolidated financial statements of the Company include the parent holding company and the Bank, which consists of seventeen bank divisions and a corporate division. The corporate division includes the Bank’s investment portfolio, wholesale borrowings and other centralized functions. The Bank divisions operate under separate names, management teams and advisory directors.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Bank has interests in variable interest entities (“VIE”) for which the Bank has both the power to direct the VIE’s significant activities and the obligation to absorb losses or right to receive benefits of the VIE that could potentially be significant to the VIE. These interests are consolidated into the Company’s consolidated financial statements. The Bank also has interests in VIEs for which the Bank does not have a controlling financial interest and is not the primary beneficiary. These interests are accounted for under the equity method in the Company’s consolidated financial statements. For additional information on the Bank’s interest in VIEs, see Note 7.</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parent holding company owns non-bank subsidiaries that have issued trust preferred securities. The trust subsidiaries are not consolidated into the Company’s consolidated financial statements. The Company's investments in the trust subsidiaries are included in other assets on the Company's statements of financial condition and its liabilities to the trust subsidiaries are included in subordinated debentures.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On April 30, 2025, the Company completed its acquisition of Bank of Idaho Holding Co. (“BOID”) and its wholly-owned subsidiary, Bank of Idaho (“BOI”), a community bank based in Idaho Falls, Idaho. The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was accounted for using the acquisition method, with the results of operations included in the Company’s consolidated financial statements beginning as of the acquisition date. For additional information relating to mergers and acquisitions, see Note 14.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auto"/>
        </w:rPr>
        <w:t>Segment Reporting</w:t>
      </w:r>
    </w:p>
    <w:p>
      <w:pPr>
        <w:spacing w:after="0" w:line="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 xml:space="preserve">The Company operates as a single segment entity for financial reporting purposes and adopted ASU 2023-07,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in the year ended December 31, 2024. The Company has determined that its current operating model is structured whereby banking locations and divisions serve a similar base of commercial and retail customers for which the Company provides similar products and services managed through similar processes and technology platforms. The Chief Executive Officer (“CEO”) serves as the Company’s chief operating decision maker (“CODM”). The CODM allocates resources and assesses performance of the Company based on the consolidated performance, excluding all significant intercompany balances and transactions between the Company and its wholly owned subsidiary the banking segment, and does not significantly utilize disaggregated segment financial information for decision making and resource allocation. The CODM assesses performance for the banking segment and decides how to allocate resources based on net income as reported on the consolidated statement of operations as consolidated net income. Accordingly, all of the Company’s operations are considered by management to be aggregated in one reportable operating segment, the banking segment. All categories of interest expense and non-interest expense as disclosed on the Company’s consolidated statements of operations are considered significant to the banking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reviewed the requirements of ASU 2023-07 and has determined that no additional segment disclosures are required, specifically as a result of the following;</w:t>
      </w:r>
    </w:p>
    <w:p>
      <w:pPr>
        <w:spacing w:after="0" w:line="179"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use the tracked performance on the disaggregated segment level for decision-making or resource allocation purposes,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significant segment-specific expenses or performance metrics are used internally for decision-making or resource allocation purposes other than those reported on the consolidated statement of operations, and</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financial consolidation presented in these financial statements aligns with the CODM’s internal reporting and decision-making process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this assessment the Company’s financial statement disclosures fully comply with ASU 2023-07, and no additional qualitative segment disclosures are necessary.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Cash Equivalents and Interest Bearing Cash Deposits</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Cash and cash equivalents include cash on hand, cash held as demand deposits at various banks and the Federal Reserve Bank (“FRB”), interest bearing deposits, federal funds sold, and liquid investments with original or acquired maturities of three months or less. Interest bearing deposits are maintained at other financial institutions as collateral for certain derivative contracts and are considered restricted cash. Interest earned on interest bearing cash deposits was $10,953,000 and $17,186,000 for the six months ended June 30, 2025 and 2024, respectively, and are included in interest income on investment securities on the consolidated statements of operations. The Company had no restricted cash held as collateral for derivative contracts as of June 30, 2025 and December 31, 2024, respectively. The Bank is required to maintain an average reserve balance either with the FRB or in the form of cash on hand at a reserve rate determined by the FRB. Effective March 26, 2020, the FRB Board reduced the reserve requirement ratio to zero percent. The required reserve balance at June 30, 2025 was $0.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Securities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Debt securities for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debt security is investment grade if the issuer has adequate capacity to meet its commitment over the expected life of the investment, i.e., the risk of default is low and full and timely repayment of interest and principal is expected. To determine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4"/>
          <w:szCs w:val="14"/>
          <w:color w:val="auto"/>
        </w:rPr>
        <w:t>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relating to debt securities, see Note 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Available-for-Sale Debt Securities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available-for-sale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available-for-sale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elected to exclude accrued interest from the estimate of credit losses for available-for-sale debt securities. As part of its non-accrual policy, the Company charges-off uncollectable interest at the time it is determined to be uncollectable.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Held-to-Maturity Debt Securities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For estimating the allowance for held-to-maturity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held-to-maturity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elected to exclude accrued interest from the estimate of credit losses for held-to-maturity debt securities. As part of its non-accrual policy, the Company charges off uncollectable interest at the time it is determined to be uncollectable.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Held for Sale</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Loans held for sale generally consist of long-term, fixed rate, conforming, single-family residential real estate loans intended to be sold on the secondary market. Fair value elections are made at the time of origination based on the Company’s fair value election policy. Loans held for sale are currently recorded at fair value and may or may not be sold with servicing rights released. Changes in fair value are recognized in gain on sale of loans included in non-interest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Receivable</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loan segments or classes are based on the purpose of the loan and consist of residential real estate, commercial real estate, other commercial, home equity, and other consumer loans. Loans that are intended at origination to be held-to-maturity are reported at the unpaid principal balance less net charge-offs and adjusted for deferred fees and costs on originated loans and unamortized premiums or discounts on acquired loans. Interest income is accrued on the unpaid principal balance.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3" w:name="page14"/>
    <w:bookmarkEnd w:id="13"/>
    <w:p>
      <w:pPr>
        <w:jc w:val="both"/>
        <w:spacing w:after="0" w:line="264" w:lineRule="auto"/>
        <w:rPr>
          <w:sz w:val="20"/>
          <w:szCs w:val="20"/>
          <w:color w:val="auto"/>
        </w:rPr>
      </w:pPr>
      <w:r>
        <w:rPr>
          <w:rFonts w:ascii="Times New Roman" w:cs="Times New Roman" w:eastAsia="Times New Roman" w:hAnsi="Times New Roman"/>
          <w:sz w:val="14"/>
          <w:szCs w:val="14"/>
          <w:color w:val="auto"/>
        </w:rPr>
        <w:t>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relating to loans, see Note 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Loans Receivable</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is adjusted for estimated credit losses which is recorded in the provision for credit losses.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expected credit loss estimate process involves procedures to consider the unique characteristics of each of the Company’s loan portfolio segments, which consist of residential real estate, commercial real estate, other commercial, home equity, and other consumer loans. When computing the allowance levels, credit loss assumptions are estimated using a model that categorizes loan pools that considers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4" w:name="page15"/>
    <w:bookmarkEnd w:id="14"/>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Residential Real Estate. </w:t>
      </w:r>
      <w:r>
        <w:rPr>
          <w:rFonts w:ascii="Times New Roman" w:cs="Times New Roman" w:eastAsia="Times New Roman" w:hAnsi="Times New Roman"/>
          <w:sz w:val="14"/>
          <w:szCs w:val="14"/>
          <w:color w:val="auto"/>
        </w:rPr>
        <w:t>Residential real estate loans are secured by owner-occupied 1-4 family residences. Repayment of these loans is primarily dependent on the personal income and credit 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Commercial Real Estate</w:t>
      </w:r>
      <w:r>
        <w:rPr>
          <w:rFonts w:ascii="Times New Roman" w:cs="Times New Roman" w:eastAsia="Times New Roman" w:hAnsi="Times New Roman"/>
          <w:sz w:val="14"/>
          <w:szCs w:val="14"/>
          <w:color w:val="auto"/>
        </w:rPr>
        <w:t>. Commercial real estate loans typically involve larger principal amounts, and repayment of these loans is generally dependent on the successful operation of the property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Commercial</w:t>
      </w:r>
      <w:r>
        <w:rPr>
          <w:rFonts w:ascii="Times New Roman" w:cs="Times New Roman" w:eastAsia="Times New Roman" w:hAnsi="Times New Roman"/>
          <w:sz w:val="14"/>
          <w:szCs w:val="14"/>
          <w:color w:val="auto"/>
        </w:rPr>
        <w:t>. Commercial loans consist of loans to commercial customers for use in financing working capital needs, equipment purchases and business expansions. The loans in this category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spacing w:after="0" w:line="15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Home Equity</w:t>
      </w:r>
      <w:r>
        <w:rPr>
          <w:rFonts w:ascii="Times New Roman" w:cs="Times New Roman" w:eastAsia="Times New Roman" w:hAnsi="Times New Roman"/>
          <w:sz w:val="14"/>
          <w:szCs w:val="14"/>
          <w:color w:val="auto"/>
        </w:rPr>
        <w:t>. Home equity loans consist of junior lien mortgages and first and junior lien lines of credit (revolving open-end and amortizing closed-end) secured by owner-occupied 1-4 family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Other Consumer</w:t>
      </w:r>
      <w:r>
        <w:rPr>
          <w:rFonts w:ascii="Times New Roman" w:cs="Times New Roman" w:eastAsia="Times New Roman" w:hAnsi="Times New Roman"/>
          <w:sz w:val="14"/>
          <w:szCs w:val="14"/>
          <w:color w:val="auto"/>
        </w:rPr>
        <w:t>. The other consumer loan portfolio consists of various short-term loans such as automobile loans and loans for other personal purposes. Repayment of these loans is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dependent on the personal income of the borrowers. Credit risk is driven by consumer economic factors (such as unemployment and general economic conditions in the Company’s diverse geographic market areas) and the creditworthiness of a borrower.</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Loans that do not Share Similar Risk Characteristics with Other Loans. </w:t>
      </w:r>
      <w:r>
        <w:rPr>
          <w:rFonts w:ascii="Times New Roman" w:cs="Times New Roman" w:eastAsia="Times New Roman" w:hAnsi="Times New Roman"/>
          <w:sz w:val="14"/>
          <w:szCs w:val="14"/>
          <w:color w:val="auto"/>
        </w:rPr>
        <w:t>For a loan that does not share similar risk characteristics with other loans, expected credit loss is measured based on the net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(new or updated) include the cost approach, income approach, sales comparison approach, or a combination of the preceding valuation techniques. The Company’s credit department reviews appraisals, giving consideration to the highest and best use of the collateral. The appraisals or evaluations (new or updated)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 (new or updated).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Loans that Share Similar Risk Characteristics with other Loans. </w:t>
      </w:r>
      <w:r>
        <w:rPr>
          <w:rFonts w:ascii="Times New Roman" w:cs="Times New Roman" w:eastAsia="Times New Roman" w:hAnsi="Times New Roman"/>
          <w:sz w:val="14"/>
          <w:szCs w:val="14"/>
          <w:color w:val="auto"/>
        </w:rPr>
        <w:t>For estimating the allowance for loans that share similar risk characteristics with other loans, such loans are segregated into loan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forecast period by a multiplier that is calculated based upon current national economic forecasts as a proportion of each segment’s historical average loss levels. The Company will then revert from the economic forecast period back to the historical average loss rate on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spacing w:after="0" w:line="252"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lending policies and procedures;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national, regional and local economic business conditions, developments, or environmental conditions that affect the collectability of the portfolio, including the condition of various markets;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and volume of the loan portfolio including the terms of the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experience, ability, and depth of the lending management and other relevant staff;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and severity of past due and adversely classified or graded loans and the volume of non-accrual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our loan review system;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underlying collateral for collateralized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and effect of any concentrations of credit, and changes in the level of concentrations;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external factors such as competition and legal and regulatory requirements on the level of estimated credit losses in the existing portfolio.</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commercial real estate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commercial real estate and commercial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Pass Loans. </w:t>
      </w:r>
      <w:r>
        <w:rPr>
          <w:rFonts w:ascii="Times New Roman" w:cs="Times New Roman" w:eastAsia="Times New Roman" w:hAnsi="Times New Roman"/>
          <w:sz w:val="14"/>
          <w:szCs w:val="14"/>
          <w:color w:val="auto"/>
        </w:rPr>
        <w:t>These ratings represent loans that are of acceptable, good or excellent quality with very limited to no risk. Loans that do not have one of the following ratings are considered pass loans.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Special Mention Loans. </w:t>
      </w:r>
      <w:r>
        <w:rPr>
          <w:rFonts w:ascii="Times New Roman" w:cs="Times New Roman" w:eastAsia="Times New Roman" w:hAnsi="Times New Roman"/>
          <w:sz w:val="14"/>
          <w:szCs w:val="14"/>
          <w:color w:val="auto"/>
        </w:rPr>
        <w:t>These ratings represent loans that are designated as special mention per the regulatory definition. Special mention loans are currently protected but are potentially weak.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Bank’s credit position. Examples include a lack of supervision, inadequate loan agreement, condition, or control of collateral, incomplete, or improper documentation, deviations from lending policy, and adverse trends in operations or economic conditions.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Substandard Loans. </w:t>
      </w:r>
      <w:r>
        <w:rPr>
          <w:rFonts w:ascii="Times New Roman" w:cs="Times New Roman" w:eastAsia="Times New Roman" w:hAnsi="Times New Roman"/>
          <w:sz w:val="14"/>
          <w:szCs w:val="14"/>
          <w:color w:val="auto"/>
        </w:rPr>
        <w:t>This rating represents loans that are inadequately protected by the current sound worth and paying capacity of the obligor or of the collateral pledged. A loan so classified must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a well-defined weakness that jeopardizes the liquidation of the debt. These loans are characterized by the distinct possibility that the Bank will sustain some loss if the deficiencies are not corrected. Loss potential, while existing in the aggregated amount of substandard loans, does not have to exist in an individual loan classified substandard.</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Doubtful/Loss Loans. </w:t>
      </w:r>
      <w:r>
        <w:rPr>
          <w:rFonts w:ascii="Times New Roman" w:cs="Times New Roman" w:eastAsia="Times New Roman" w:hAnsi="Times New Roman"/>
          <w:sz w:val="14"/>
          <w:szCs w:val="14"/>
          <w:color w:val="auto"/>
        </w:rPr>
        <w:t>A loan classified as doubtful has the characteristics that make collection in full, on the basis of currently existing facts, conditions, and values, highly improbable.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4"/>
          <w:szCs w:val="14"/>
          <w:color w:val="auto"/>
        </w:rPr>
        <w:t>perfecting liens on additional collateral and refinancing plans. Loans are classified as loss when they are deemed to be not collectible and of such little value that continuance as an active asset of the Bank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Modifications</w:t>
      </w:r>
    </w:p>
    <w:p>
      <w:pPr>
        <w:spacing w:after="0" w:line="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identifies and monitors loans modified to borrowers experiencing financial difficulty (“MBFD”). The Company considers some of the indicators that a borrower is experiencing financial difficulty to be: currently in payment default on any 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 The allowance for credit losses on loans that are considered MBFD’s are measured using the same method as all other loans held for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Off-Balance Sheet Credit Exposures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maintains a separate allowance for credit losses for off-balance sheet credit exposures, including unfunded loan commitments. Such ACL is included in other liabilities on the Company’s statements of financial condition. The Company estimates the amount of expected losses by calculating a commitment usage factor over the contractual period for exposures and applying the loss factors used in the ACL methodology to the results of the usage calculation to estimate the liability for credit losses related to unfunded commitments for each loan segment. No credit loss estimate is reported for off-balance sheet credit exposures that are unconditionally cancellable by the Bank. At June 30, 2025 and December 31, 2024, the Company had an ACL of $24,337,000 and $20,419,000, respectively, for off-balance sheet credit exposures.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Provision for Credit Losses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recognizes provision for credit losses on the allowance for off-balance sheet credit exposures (e.g., unfunded loan commitments) together with provision for credit losses on the loan portfolio in the consolidated statement of operations line item provision for credit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provision for credit losses on the loan portfolio and off-balance sheet exposures: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40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3"/>
          </w:tcPr>
          <w:p>
            <w:pPr>
              <w:ind w:left="54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Pr>
          <w:p>
            <w:pPr>
              <w:jc w:val="center"/>
              <w:ind w:right="429"/>
              <w:spacing w:after="0" w:line="129" w:lineRule="exact"/>
              <w:rPr>
                <w:sz w:val="20"/>
                <w:szCs w:val="20"/>
                <w:color w:val="auto"/>
              </w:rPr>
            </w:pPr>
            <w:r>
              <w:rPr>
                <w:rFonts w:ascii="Times New Roman" w:cs="Times New Roman" w:eastAsia="Times New Roman" w:hAnsi="Times New Roman"/>
                <w:sz w:val="14"/>
                <w:szCs w:val="14"/>
                <w:color w:val="auto"/>
              </w:rPr>
              <w:t>June 30,</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2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720" w:type="dxa"/>
            <w:vAlign w:val="bottom"/>
            <w:gridSpan w:val="3"/>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 loans</w:t>
            </w:r>
          </w:p>
        </w:tc>
        <w:tc>
          <w:tcPr>
            <w:tcW w:w="10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5,066</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14,157</w:t>
            </w:r>
          </w:p>
        </w:tc>
      </w:tr>
      <w:tr>
        <w:trPr>
          <w:trHeight w:val="180"/>
        </w:trPr>
        <w:tc>
          <w:tcPr>
            <w:tcW w:w="2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credit loss unfunded</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(1,548)</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(2,390)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provision for credit losses</w:t>
            </w: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20,267</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3,518</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11,767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provision for credit losses on debt securities for the six months ended June 30, 2025 and 2024,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Premises and Equipment</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right-of-use (“ROU”) assets on the Company’s statement of financial condition. The operating leases have an ROU liability in operating lease liabilities on the Company’s statements of financial condition and lease expense for lease payments is recognized on a straight-line basis over the lease term. The finance leases have liabilities that are included in finance lease liabilities on the Company’s statements of financial condition.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for the Company based on the information available at commencement date is used in determining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7" w:name="page18"/>
    <w:bookmarkEnd w:id="17"/>
    <w:p>
      <w:pPr>
        <w:jc w:val="both"/>
        <w:spacing w:after="0" w:line="248" w:lineRule="auto"/>
        <w:rPr>
          <w:sz w:val="20"/>
          <w:szCs w:val="20"/>
          <w:color w:val="auto"/>
        </w:rPr>
      </w:pPr>
      <w:r>
        <w:rPr>
          <w:rFonts w:ascii="Times New Roman" w:cs="Times New Roman" w:eastAsia="Times New Roman" w:hAnsi="Times New Roman"/>
          <w:sz w:val="14"/>
          <w:szCs w:val="14"/>
          <w:color w:val="auto"/>
        </w:rPr>
        <w:t>the present value of the lease payments. A lease term will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payments for short-term leases of 12 months or less on a straight-line basis over the lease term, and exclude such leases from the Company’s statements of financial condition. Renewal and termination options are considered when determining short-term leases. Leases are accounted for on an individual lease level.</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 improvements incurred at the inception of the lease are recorded as an asset and depreciated over the initial term of the lease and lease improvements incurred subsequently are depreciated over the remaining term of the lease.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Real Estate Owned</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other real estate owned (“OREO”) is recorded in non-interest income or non-interest expense, respectively. In determining the fair value of the properties on the date of transfer and any subsequent estimated losses of net realizable value, the fair value of OREO acquired by foreclosure or deed-in-lieu of foreclosure is determined primarily based upon appraisal or evaluation of the underlying property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Business Combinations and Intangible Assets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Adjustment of the allocated purchase price may be related to fair value estimates for which all information has not been obtained for the acquired entity and becomes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tests goodwill for impairment at the reporting unit level annually during the third quarter. The Company has identified Bank divisions as a single reporting unit (i.e., a component of the Glacier Bank operating segment) given that each division has similar economic characteristics, products, services, and are all subject to FDIC oversight under one regulatory call report.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spacing w:after="0" w:line="39"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change in legal factors or in the business climate;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adverse action or assessment by a regulator;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competition;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loss of key personnel;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8" w:name="page19"/>
    <w:bookmarkEnd w:id="18"/>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more-likely-than-not expectation that a reporting unit or a significant portion of a reporting unit will be sold or otherwise disposed of;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testing for recoverability of a significant asset group within a reporting unit.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2024 and 2023 annual goodwill impairment testing and proceed directly to the goodwill impairment assessment. The goodwill impairment process requires the Company to make assumptions and judgments regarding fair value. The Company calculates an implied fair value and if the implied fair value is less than the carrying value, an impairment loss is recognized for the difference. For additional information relating to goodwill, see Note 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 Servicing Rights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Servicing fee income is recognized in other income for fees earned for servicing loans. The fees are based on contractual percentage of the outstanding principal; or a fixed amount per loan and is recorded when earned. The amortization of loan servicing rights is netted against loan servicing fee income. For additional information relating to loan servicing rights, see Note 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Securities</w:t>
      </w:r>
    </w:p>
    <w:p>
      <w:pPr>
        <w:spacing w:after="0" w:line="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Non-marketable equity securities primarily consist of Federal Home Loan Bank (“FHLB”) stock.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has an insignificant amount of equity securities that are included in other assets on the Company’s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Reserve Bank Term Funding Program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quarter of 2023, the FRB offered a new Bank Term Funding Program (“BTFP”) for eligible depository institutions. The Company paid off this borrowing in the first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Borrowings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Borrowings of the Company’s consolidated variable interest entities and finance lease arrangements are included in other borrowings. For additional information relating to VIE’s, see Note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Bank-Owned Life Insurance</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auto"/>
        </w:rPr>
        <w:t>Derivatives and Hedging Activities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is exposed to certain risks relating to its ongoing operations. The primary risk managed by using derivative instruments is interest rate risk. Interest rate cap contracts have been entered into to manage interest rate risk associated with variable rate borrowings and were designated as cash flow hedges. Interest rate swap contracts have been entered into to manage interest rate risk associated with fixed rate debt securities and were designated as fair value hedges. The Company does not enter into derivative instruments for trading or speculative purposes.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hedges and cash flow hedges were recognized as other assets or other liabilities on the Company’s statements of financial condition and were measured at fair value. For the fair value hedges, the gain or loss on the derivative, as well as the offsetting loss or gain on the hedged item attributable to the hedged risk, are recognized in current earnings as fair values change. For a cash flow hedge, the gain or loss on the derivative is reported in other comprehensive income and is reclassified into earnings in the same periods during which the hedged transaction affects earnings. Cash flows resulting from the fair value hedges and cash flow hedges were classified in the Company’s cash flow statement in the same category as the cash flows of the items being hedged.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may elect to formally document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financial condition or to specific firm commitments or forecasted transactions. The Company then formally assesses, both at the hedge’s inception and on an ongoing basis, whether the derivative instruments that are designated are highly effective in offsetting changes in fair values or cash flows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relating to the derivatives and hedging activity, see Note 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 Recognition</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recognizes revenue when services or products are transferred to customers in an amount that reflects the consideration to which the Company expects to be entitled. Revenue from contracts with customers within the scope of ASC Topic 606 was $46,912,000 and $45,407,000 for the six months ended June 30, 2025 and 2024, respectively, and largely consisted of revenue from service charges and other fees from deposits (e.g., overdraft fees, ATM fees, debit card fees). Due to the short-term nature of the Company’s contracts with customers, an insignificant amount of receivables related to such revenue was recorded at June 30, 2025 and December 31, 2024 and there were no impairment losses recognized. Policies specific to revenue from contracts with customers include the following:</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Service Charges. </w:t>
      </w:r>
      <w:r>
        <w:rPr>
          <w:rFonts w:ascii="Times New Roman" w:cs="Times New Roman" w:eastAsia="Times New Roman" w:hAnsi="Times New Roman"/>
          <w:sz w:val="14"/>
          <w:szCs w:val="14"/>
          <w:color w:val="auto"/>
        </w:rPr>
        <w:t>Revenue from service charges consists of service charges and fees on deposit accounts under depository agreements with customers to provide access to deposited funds and, when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Debit Card Fees. </w:t>
      </w:r>
      <w:r>
        <w:rPr>
          <w:rFonts w:ascii="Times New Roman" w:cs="Times New Roman" w:eastAsia="Times New Roman" w:hAnsi="Times New Roman"/>
          <w:sz w:val="14"/>
          <w:szCs w:val="14"/>
          <w:color w:val="auto"/>
        </w:rPr>
        <w:t>Revenue from debit card fees includes interchange fee income from debit cards processed through card association networks. Interchange fees represent a portion of a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w:t>
      </w:r>
    </w:p>
    <w:p>
      <w:pPr>
        <w:spacing w:after="0"/>
        <w:rPr>
          <w:sz w:val="20"/>
          <w:szCs w:val="20"/>
          <w:color w:val="auto"/>
        </w:rPr>
      </w:pPr>
      <w:r>
        <w:rPr>
          <w:rFonts w:ascii="Times New Roman" w:cs="Times New Roman" w:eastAsia="Times New Roman" w:hAnsi="Times New Roman"/>
          <w:sz w:val="14"/>
          <w:szCs w:val="14"/>
          <w:u w:val="single" w:color="auto"/>
          <w:color w:val="auto"/>
        </w:rPr>
        <w:t>Reclassifications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reclassifications have been made to the 2024 financial statements to conform to the 2025 presentation. These reclassifications had no effect on net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Accounting Guidance Pending Adoption</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recently issued but not yet effective Accounting Standards Updates (“ASU”) that could have a material effect on the Company’s financial position or results of operations.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ASU 2024-03 - Disaggregation of Income Statement Expenses. </w:t>
      </w:r>
      <w:r>
        <w:rPr>
          <w:rFonts w:ascii="Times New Roman" w:cs="Times New Roman" w:eastAsia="Times New Roman" w:hAnsi="Times New Roman"/>
          <w:sz w:val="14"/>
          <w:szCs w:val="14"/>
          <w:color w:val="auto"/>
        </w:rPr>
        <w:t>In November 2024, FASB amended subtopic 220-40 which requires certain disaggregated disclosures of the income statement.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amendments require new financial statement disclosures in tabular format, disaggregating information about prescribed categories underlying any relevant income statement expense caption. The prescribed categories include, among other things, employee compensation, depreciation and intangible amortization. The amendments are effective for public business entities in the first annual reporting period beginning after December 15, 2026, and interim reporting periods with annual reporting periods beginning after December 15, 2027, with early adoption permitted. The amendments in this update may be applied on a prospective basis or retrospective to any or all prior periods presented in the financial statements. The Company is currently evaluating the impact of this update, but does not expect the adoption of this guidance to have a material impact to the consolidated financial statements, including related disclosures, or significant impact on its current processes.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ASU 2023-09 - Income Tax Disclosures. </w:t>
      </w:r>
      <w:r>
        <w:rPr>
          <w:rFonts w:ascii="Times New Roman" w:cs="Times New Roman" w:eastAsia="Times New Roman" w:hAnsi="Times New Roman"/>
          <w:sz w:val="14"/>
          <w:szCs w:val="14"/>
          <w:color w:val="auto"/>
        </w:rPr>
        <w:t>In December 2023, FASB amended topic 740 related to certain income tax disclosures. The amendments provide updates related to the rate reconciliation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taxes paid disclosures to improve transparency of income disclosures by requiring (1) consistent categories and greater disaggregation of information in the rate reconciliation and (2) income taxes paid disaggregated by jurisdiction. Other amendments in the update improve the effectiveness and comparability of disclosures and remove disclosures that are no longer considered cost beneficial or relevant. The amendments are effective for public business entities beginning with the first annual reporting period after December 15, 2024 with early adoption permitted in any annual period. The amendments in this update should be applied on a prospective basis and retrospective application is permitted. The Company is currently evaluating the impact of this update, but does not expect the adoption of this guidance to have a material impact to the consolidated financial statements, including related disclosures, or significant impact on its current processes.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2. Debt Securities</w:t>
            </w: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tables   present   the   amortized</w:t>
            </w:r>
          </w:p>
        </w:tc>
        <w:tc>
          <w:tcPr>
            <w:tcW w:w="21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cost,   the   gross   unrealized</w:t>
            </w: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gains   and   losses</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the</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fair   value</w:t>
            </w: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of   the   Company’s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debt   securities: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June 30, 2025</w:t>
            </w: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98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Amortized</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0" w:type="dxa"/>
            <w:vAlign w:val="bottom"/>
            <w:gridSpan w:val="3"/>
          </w:tcPr>
          <w:p>
            <w:pPr>
              <w:jc w:val="center"/>
              <w:ind w:right="900"/>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112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980" w:type="dxa"/>
            <w:vAlign w:val="bottom"/>
            <w:gridSpan w:val="4"/>
            <w:vMerge w:val="continue"/>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Unrealized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0" w:type="dxa"/>
            <w:vAlign w:val="bottom"/>
            <w:gridSpan w:val="3"/>
          </w:tcPr>
          <w:p>
            <w:pPr>
              <w:jc w:val="center"/>
              <w:ind w:right="900"/>
              <w:spacing w:after="0" w:line="138" w:lineRule="exact"/>
              <w:rPr>
                <w:sz w:val="20"/>
                <w:szCs w:val="20"/>
                <w:color w:val="auto"/>
              </w:rPr>
            </w:pPr>
            <w:r>
              <w:rPr>
                <w:rFonts w:ascii="Times New Roman" w:cs="Times New Roman" w:eastAsia="Times New Roman" w:hAnsi="Times New Roman"/>
                <w:sz w:val="14"/>
                <w:szCs w:val="14"/>
                <w:color w:val="auto"/>
              </w:rPr>
              <w:t>Unrealized</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3"/>
          </w:tcPr>
          <w:p>
            <w:pPr>
              <w:jc w:val="center"/>
              <w:ind w:right="980"/>
              <w:spacing w:after="0" w:line="129" w:lineRule="exact"/>
              <w:rPr>
                <w:sz w:val="20"/>
                <w:szCs w:val="20"/>
                <w:color w:val="auto"/>
              </w:rPr>
            </w:pPr>
            <w:r>
              <w:rPr>
                <w:rFonts w:ascii="Times New Roman" w:cs="Times New Roman" w:eastAsia="Times New Roman" w:hAnsi="Times New Roman"/>
                <w:sz w:val="14"/>
                <w:szCs w:val="14"/>
                <w:color w:val="auto"/>
              </w:rPr>
              <w:t>Cost</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Gains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3"/>
          </w:tcPr>
          <w:p>
            <w:pPr>
              <w:jc w:val="center"/>
              <w:ind w:right="900"/>
              <w:spacing w:after="0" w:line="129" w:lineRule="exact"/>
              <w:rPr>
                <w:sz w:val="20"/>
                <w:szCs w:val="20"/>
                <w:color w:val="auto"/>
              </w:rPr>
            </w:pPr>
            <w:r>
              <w:rPr>
                <w:rFonts w:ascii="Times New Roman" w:cs="Times New Roman" w:eastAsia="Times New Roman" w:hAnsi="Times New Roman"/>
                <w:sz w:val="14"/>
                <w:szCs w:val="14"/>
                <w:color w:val="auto"/>
                <w:w w:val="99"/>
              </w:rPr>
              <w:t>Losses</w:t>
            </w:r>
          </w:p>
        </w:tc>
        <w:tc>
          <w:tcPr>
            <w:tcW w:w="1120" w:type="dxa"/>
            <w:vAlign w:val="bottom"/>
          </w:tcPr>
          <w:p>
            <w:pPr>
              <w:jc w:val="right"/>
              <w:ind w:right="529"/>
              <w:spacing w:after="0" w:line="12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2100" w:type="dxa"/>
            <w:vAlign w:val="bottom"/>
            <w:gridSpan w:val="2"/>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434,011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1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324,793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1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2,425,723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(237,869)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2,187,864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5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1,071,083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available-for-sale</w:t>
            </w:r>
          </w:p>
        </w:tc>
        <w:tc>
          <w:tcPr>
            <w:tcW w:w="156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4,344,195</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(319,655)</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4,024,980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Held-to-maturity</w:t>
            </w:r>
          </w:p>
        </w:tc>
        <w:tc>
          <w:tcPr>
            <w:tcW w:w="1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862,536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823,386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1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(248,765)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1,352,435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742,749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695,699</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34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held-to-maturity</w:t>
            </w:r>
          </w:p>
        </w:tc>
        <w:tc>
          <w:tcPr>
            <w:tcW w:w="15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3,206,133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(334,965)</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2,871,520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 debt securities</w:t>
            </w:r>
          </w:p>
        </w:tc>
        <w:tc>
          <w:tcPr>
            <w:tcW w:w="156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7,550,328</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(654,620)</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4"/>
                <w:szCs w:val="14"/>
                <w:color w:val="auto"/>
              </w:rPr>
              <w:t>December 31, 2024</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6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Amortized</w:t>
            </w:r>
          </w:p>
        </w:tc>
        <w:tc>
          <w:tcPr>
            <w:tcW w:w="1120" w:type="dxa"/>
            <w:vAlign w:val="bottom"/>
          </w:tcPr>
          <w:p>
            <w:pPr>
              <w:jc w:val="center"/>
              <w:ind w:left="349"/>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152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120" w:type="dxa"/>
            <w:vAlign w:val="bottom"/>
          </w:tcPr>
          <w:p>
            <w:pPr>
              <w:jc w:val="center"/>
              <w:ind w:left="349"/>
              <w:spacing w:after="0" w:line="138" w:lineRule="exact"/>
              <w:rPr>
                <w:sz w:val="20"/>
                <w:szCs w:val="20"/>
                <w:color w:val="auto"/>
              </w:rPr>
            </w:pPr>
            <w:r>
              <w:rPr>
                <w:rFonts w:ascii="Times New Roman" w:cs="Times New Roman" w:eastAsia="Times New Roman" w:hAnsi="Times New Roman"/>
                <w:sz w:val="14"/>
                <w:szCs w:val="14"/>
                <w:color w:val="auto"/>
              </w:rPr>
              <w:t>Unrealized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rPr>
              <w:t>Unrealized</w:t>
            </w: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Cost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left="349"/>
              <w:spacing w:after="0" w:line="129" w:lineRule="exact"/>
              <w:rPr>
                <w:sz w:val="20"/>
                <w:szCs w:val="20"/>
                <w:color w:val="auto"/>
              </w:rPr>
            </w:pPr>
            <w:r>
              <w:rPr>
                <w:rFonts w:ascii="Times New Roman" w:cs="Times New Roman" w:eastAsia="Times New Roman" w:hAnsi="Times New Roman"/>
                <w:sz w:val="14"/>
                <w:szCs w:val="14"/>
                <w:color w:val="auto"/>
              </w:rPr>
              <w:t>Gains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Losses</w:t>
            </w:r>
          </w:p>
        </w:tc>
        <w:tc>
          <w:tcPr>
            <w:tcW w:w="1520" w:type="dxa"/>
            <w:vAlign w:val="bottom"/>
          </w:tcPr>
          <w:p>
            <w:pPr>
              <w:jc w:val="right"/>
              <w:ind w:right="529"/>
              <w:spacing w:after="0" w:line="12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484,082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(15,654)</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468,433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323,854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71,737</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14,818</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2,660,330</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(304,819)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2,355,516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9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1,101,489</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(73,572)</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available-for-sale</w:t>
            </w:r>
          </w:p>
        </w:tc>
        <w:tc>
          <w:tcPr>
            <w:tcW w:w="9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4,656,310</w:t>
            </w: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(411,332)</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8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Held-to-maturity</w:t>
            </w: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859,432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804,936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1,619,850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(209,502)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1,411,158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815,565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752,476</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86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held-to-maturity</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3,294,847</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(327,087)</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2,968,570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 debt securities</w:t>
            </w:r>
          </w:p>
        </w:tc>
        <w:tc>
          <w:tcPr>
            <w:tcW w:w="9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7,951,157</w:t>
            </w: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(738,419)</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Maturity Analysis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table presents the amortized cost and fair value of available-for-sale and held-to-maturity debt securities by contractual maturity at June 30, 2025. Actual maturities may differ from expected or contractual maturities since some issuers have the right to prepay obligations with or without prepayment penalties.</w:t>
      </w: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color w:val="auto"/>
              </w:rPr>
              <w:t>June 30, 2025</w:t>
            </w:r>
          </w:p>
        </w:tc>
        <w:tc>
          <w:tcPr>
            <w:tcW w:w="108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color w:val="auto"/>
                <w:w w:val="97"/>
              </w:rPr>
              <w:t>Available-for-Sale</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color w:val="auto"/>
              </w:rPr>
              <w:t>Held-to-Maturity</w:t>
            </w:r>
          </w:p>
        </w:tc>
        <w:tc>
          <w:tcPr>
            <w:tcW w:w="10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80" w:type="dxa"/>
            <w:vAlign w:val="bottom"/>
          </w:tcPr>
          <w:p>
            <w:pPr>
              <w:spacing w:after="0"/>
              <w:rPr>
                <w:sz w:val="11"/>
                <w:szCs w:val="11"/>
                <w:color w:val="auto"/>
              </w:rPr>
            </w:pPr>
          </w:p>
        </w:tc>
        <w:tc>
          <w:tcPr>
            <w:tcW w:w="190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3"/>
                <w:szCs w:val="13"/>
                <w:color w:val="auto"/>
              </w:rPr>
              <w:t>Amortized Cost</w:t>
            </w:r>
          </w:p>
        </w:tc>
        <w:tc>
          <w:tcPr>
            <w:tcW w:w="1060" w:type="dxa"/>
            <w:vAlign w:val="bottom"/>
          </w:tcPr>
          <w:p>
            <w:pPr>
              <w:jc w:val="right"/>
              <w:ind w:right="410"/>
              <w:spacing w:after="0" w:line="118" w:lineRule="exact"/>
              <w:rPr>
                <w:sz w:val="20"/>
                <w:szCs w:val="20"/>
                <w:color w:val="auto"/>
              </w:rPr>
            </w:pPr>
            <w:r>
              <w:rPr>
                <w:rFonts w:ascii="Times New Roman" w:cs="Times New Roman" w:eastAsia="Times New Roman" w:hAnsi="Times New Roman"/>
                <w:sz w:val="13"/>
                <w:szCs w:val="13"/>
                <w:color w:val="auto"/>
              </w:rPr>
              <w:t>Fair Value</w:t>
            </w:r>
          </w:p>
        </w:tc>
        <w:tc>
          <w:tcPr>
            <w:tcW w:w="100" w:type="dxa"/>
            <w:vAlign w:val="bottom"/>
          </w:tcPr>
          <w:p>
            <w:pPr>
              <w:spacing w:after="0"/>
              <w:rPr>
                <w:sz w:val="11"/>
                <w:szCs w:val="11"/>
                <w:color w:val="auto"/>
              </w:rPr>
            </w:pPr>
          </w:p>
        </w:tc>
        <w:tc>
          <w:tcPr>
            <w:tcW w:w="208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color w:val="auto"/>
              </w:rPr>
              <w:t>Amortized Cost</w:t>
            </w:r>
          </w:p>
        </w:tc>
        <w:tc>
          <w:tcPr>
            <w:tcW w:w="1080" w:type="dxa"/>
            <w:vAlign w:val="bottom"/>
          </w:tcPr>
          <w:p>
            <w:pPr>
              <w:jc w:val="right"/>
              <w:ind w:right="410"/>
              <w:spacing w:after="0" w:line="118" w:lineRule="exact"/>
              <w:rPr>
                <w:sz w:val="20"/>
                <w:szCs w:val="20"/>
                <w:color w:val="auto"/>
              </w:rPr>
            </w:pPr>
            <w:r>
              <w:rPr>
                <w:rFonts w:ascii="Times New Roman" w:cs="Times New Roman" w:eastAsia="Times New Roman" w:hAnsi="Times New Roman"/>
                <w:sz w:val="13"/>
                <w:szCs w:val="13"/>
                <w:color w:val="auto"/>
              </w:rPr>
              <w:t>Fair 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within one year</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656,246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643,971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9,887</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135,756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130,467</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963,132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922,352</w:t>
            </w: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238,847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226,960</w:t>
            </w:r>
          </w:p>
        </w:tc>
      </w:tr>
      <w:tr>
        <w:trPr>
          <w:trHeight w:val="180"/>
        </w:trPr>
        <w:tc>
          <w:tcPr>
            <w:tcW w:w="2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Due after ten years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28,313</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1,251,518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1,016,622</w:t>
            </w:r>
          </w:p>
        </w:tc>
      </w:tr>
      <w:tr>
        <w:trPr>
          <w:trHeight w:val="171"/>
        </w:trPr>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847,389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826,619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2,463,384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2,175,821</w:t>
            </w:r>
          </w:p>
        </w:tc>
      </w:tr>
      <w:tr>
        <w:trPr>
          <w:trHeight w:val="180"/>
        </w:trPr>
        <w:tc>
          <w:tcPr>
            <w:tcW w:w="2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Mortgage-backed securities </w:t>
            </w:r>
            <w:r>
              <w:rPr>
                <w:rFonts w:ascii="Times New Roman" w:cs="Times New Roman" w:eastAsia="Times New Roman" w:hAnsi="Times New Roman"/>
                <w:sz w:val="18"/>
                <w:szCs w:val="18"/>
                <w:color w:val="auto"/>
                <w:vertAlign w:val="superscript"/>
              </w:rPr>
              <w:t>1</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3,496,806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3,198,361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742,749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695,699</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4,344,195</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4,024,980</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3,206,133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2,871,520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ind w:left="80" w:hanging="75"/>
        <w:spacing w:after="0" w:line="218" w:lineRule="auto"/>
        <w:tabs>
          <w:tab w:leader="none" w:pos="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Mortgage-backed securities, which have prepayment provisions, are not assigned to maturity categories due to fluctuations in their prepayment speeds.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11"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auto"/>
        </w:rPr>
        <w:t>Sales and Calls of Debt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sales and calls of debt securities and the associated gains and losses that have been included in earnings in gain (loss) on sale of securities are listed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color w:val="auto"/>
              </w:rPr>
              <w:t>Six Months ended</w:t>
            </w:r>
          </w:p>
        </w:tc>
        <w:tc>
          <w:tcPr>
            <w:tcW w:w="10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80" w:type="dxa"/>
            <w:vAlign w:val="bottom"/>
          </w:tcPr>
          <w:p>
            <w:pPr>
              <w:jc w:val="center"/>
              <w:ind w:left="469"/>
              <w:spacing w:after="0" w:line="129" w:lineRule="exact"/>
              <w:rPr>
                <w:sz w:val="20"/>
                <w:szCs w:val="20"/>
                <w:color w:val="auto"/>
              </w:rPr>
            </w:pPr>
            <w:r>
              <w:rPr>
                <w:rFonts w:ascii="Times New Roman" w:cs="Times New Roman" w:eastAsia="Times New Roman" w:hAnsi="Times New Roman"/>
                <w:sz w:val="14"/>
                <w:szCs w:val="14"/>
                <w:color w:val="auto"/>
                <w:w w:val="98"/>
              </w:rPr>
              <w:t>June 30,</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349"/>
              <w:spacing w:after="0" w:line="129" w:lineRule="exact"/>
              <w:rPr>
                <w:sz w:val="20"/>
                <w:szCs w:val="20"/>
                <w:color w:val="auto"/>
              </w:rPr>
            </w:pPr>
            <w:r>
              <w:rPr>
                <w:rFonts w:ascii="Times New Roman" w:cs="Times New Roman" w:eastAsia="Times New Roman" w:hAnsi="Times New Roman"/>
                <w:sz w:val="14"/>
                <w:szCs w:val="14"/>
                <w:color w:val="auto"/>
                <w:w w:val="98"/>
              </w:rPr>
              <w:t>June 30,</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2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June 30,</w:t>
            </w: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860" w:type="dxa"/>
            <w:vAlign w:val="bottom"/>
            <w:gridSpan w:val="3"/>
          </w:tcPr>
          <w:p>
            <w:pPr>
              <w:jc w:val="right"/>
              <w:ind w:right="1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ind w:right="5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right"/>
              <w:ind w:right="54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Proceeds from sales and calls of debt securities</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120,245</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120,680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173,719</w:t>
            </w: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Gross realized gains </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20" w:type="dxa"/>
            <w:vAlign w:val="bottom"/>
          </w:tcPr>
          <w:p>
            <w:pPr>
              <w:spacing w:after="0"/>
              <w:rPr>
                <w:sz w:val="15"/>
                <w:szCs w:val="15"/>
                <w:color w:val="auto"/>
              </w:rPr>
            </w:pPr>
          </w:p>
        </w:tc>
        <w:tc>
          <w:tcPr>
            <w:tcW w:w="46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Gross realized losses </w:t>
            </w:r>
            <w:r>
              <w:rPr>
                <w:rFonts w:ascii="Times New Roman" w:cs="Times New Roman" w:eastAsia="Times New Roman" w:hAnsi="Times New Roman"/>
                <w:sz w:val="18"/>
                <w:szCs w:val="18"/>
                <w:color w:val="auto"/>
                <w:vertAlign w:val="superscript"/>
              </w:rPr>
              <w:t>1</w:t>
            </w:r>
          </w:p>
        </w:tc>
        <w:tc>
          <w:tcPr>
            <w:tcW w:w="1080" w:type="dxa"/>
            <w:vAlign w:val="bottom"/>
          </w:tcPr>
          <w:p>
            <w:pPr>
              <w:spacing w:after="0"/>
              <w:rPr>
                <w:sz w:val="15"/>
                <w:szCs w:val="15"/>
                <w:color w:val="auto"/>
              </w:rPr>
            </w:pPr>
          </w:p>
        </w:tc>
        <w:tc>
          <w:tcPr>
            <w:tcW w:w="1860" w:type="dxa"/>
            <w:vAlign w:val="bottom"/>
            <w:gridSpan w:val="3"/>
          </w:tcPr>
          <w:p>
            <w:pPr>
              <w:jc w:val="right"/>
              <w:ind w:right="12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Proceeds from calls of debt securities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6,365</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w:t>
            </w: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Gross realized gains </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20" w:type="dxa"/>
            <w:vAlign w:val="bottom"/>
          </w:tcPr>
          <w:p>
            <w:pPr>
              <w:spacing w:after="0"/>
              <w:rPr>
                <w:sz w:val="21"/>
                <w:szCs w:val="21"/>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xml:space="preserve">Gross realized losses </w:t>
            </w:r>
            <w:r>
              <w:rPr>
                <w:rFonts w:ascii="Times New Roman" w:cs="Times New Roman" w:eastAsia="Times New Roman" w:hAnsi="Times New Roman"/>
                <w:sz w:val="18"/>
                <w:szCs w:val="18"/>
                <w:color w:val="auto"/>
                <w:vertAlign w:val="superscript"/>
              </w:rPr>
              <w:t>1</w:t>
            </w:r>
          </w:p>
        </w:tc>
        <w:tc>
          <w:tcPr>
            <w:tcW w:w="1080" w:type="dxa"/>
            <w:vAlign w:val="bottom"/>
          </w:tcPr>
          <w:p>
            <w:pPr>
              <w:spacing w:after="0"/>
              <w:rPr>
                <w:sz w:val="21"/>
                <w:szCs w:val="21"/>
                <w:color w:val="auto"/>
              </w:rPr>
            </w:pPr>
          </w:p>
        </w:tc>
        <w:tc>
          <w:tcPr>
            <w:tcW w:w="1860" w:type="dxa"/>
            <w:vAlign w:val="bottom"/>
            <w:gridSpan w:val="3"/>
          </w:tcPr>
          <w:p>
            <w:pPr>
              <w:jc w:val="right"/>
              <w:ind w:right="128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1"/>
                <w:szCs w:val="21"/>
                <w:color w:val="auto"/>
              </w:rPr>
            </w:pPr>
          </w:p>
        </w:tc>
        <w:tc>
          <w:tcPr>
            <w:tcW w:w="21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bl>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ind w:left="80" w:hanging="75"/>
        <w:spacing w:after="0" w:line="215" w:lineRule="auto"/>
        <w:tabs>
          <w:tab w:leader="none" w:pos="8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 gain or loss on the sale or call of each debt security is determined by the specific identification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Available-for-Sale Debt Securities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following tables summarize available-for-sale debt securities that were in an unrealized loss position for which an ACL has not been recorded, based on the length of time the individual securities have been in an unrealized loss position. The number of available-for-sale debt securities in an unrealized loss position is also disclosed.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June 30, 2025</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Number</w:t>
            </w: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color w:val="auto"/>
              </w:rPr>
              <w:t>Less than 12 Months</w:t>
            </w: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12 Months or More</w:t>
            </w: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1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of</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36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94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color w:val="auto"/>
              </w:rPr>
              <w:t>Unrealized</w:t>
            </w: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8"/>
              </w:rPr>
              <w:t>Loss</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8"/>
              </w:rPr>
              <w:t>Loss</w:t>
            </w: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940" w:type="dxa"/>
            <w:vAlign w:val="bottom"/>
          </w:tcPr>
          <w:p>
            <w:pPr>
              <w:jc w:val="right"/>
              <w:ind w:right="349"/>
              <w:spacing w:after="0" w:line="14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420,119</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(8,730)</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315,982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47,093</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2,161,706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(237,557)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2,186,771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(237,869)</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926,733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962,908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(60,825)</w:t>
            </w:r>
          </w:p>
        </w:tc>
      </w:tr>
      <w:tr>
        <w:trPr>
          <w:trHeight w:val="171"/>
        </w:trPr>
        <w:tc>
          <w:tcPr>
            <w:tcW w:w="20" w:type="dxa"/>
            <w:vAlign w:val="bottom"/>
          </w:tcPr>
          <w:p>
            <w:pPr>
              <w:spacing w:after="0"/>
              <w:rPr>
                <w:sz w:val="14"/>
                <w:szCs w:val="14"/>
                <w:color w:val="auto"/>
              </w:rPr>
            </w:pPr>
          </w:p>
        </w:tc>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available-for-sale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71,706</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3,885,507</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(317,969)</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3,957,213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(319,655)</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Number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4"/>
                <w:szCs w:val="14"/>
                <w:color w:val="auto"/>
              </w:rPr>
              <w:t>Less than 12 Months</w:t>
            </w: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12 Months or More</w:t>
            </w: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20" w:type="dxa"/>
            <w:vAlign w:val="bottom"/>
          </w:tcPr>
          <w:p>
            <w:pPr>
              <w:jc w:val="center"/>
              <w:ind w:left="189"/>
              <w:spacing w:after="0" w:line="129" w:lineRule="exact"/>
              <w:rPr>
                <w:sz w:val="20"/>
                <w:szCs w:val="20"/>
                <w:color w:val="auto"/>
              </w:rPr>
            </w:pPr>
            <w:r>
              <w:rPr>
                <w:rFonts w:ascii="Times New Roman" w:cs="Times New Roman" w:eastAsia="Times New Roman" w:hAnsi="Times New Roman"/>
                <w:sz w:val="14"/>
                <w:szCs w:val="14"/>
                <w:color w:val="auto"/>
              </w:rPr>
              <w:t>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36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94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color w:val="auto"/>
              </w:rPr>
              <w:t>Unrealized</w:t>
            </w: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820" w:type="dxa"/>
            <w:vAlign w:val="bottom"/>
          </w:tcPr>
          <w:p>
            <w:pPr>
              <w:jc w:val="center"/>
              <w:ind w:left="189"/>
              <w:spacing w:after="0" w:line="129" w:lineRule="exact"/>
              <w:rPr>
                <w:sz w:val="20"/>
                <w:szCs w:val="20"/>
                <w:color w:val="auto"/>
              </w:rPr>
            </w:pPr>
            <w:r>
              <w:rPr>
                <w:rFonts w:ascii="Times New Roman" w:cs="Times New Roman" w:eastAsia="Times New Roman" w:hAnsi="Times New Roman"/>
                <w:sz w:val="14"/>
                <w:szCs w:val="14"/>
                <w:color w:val="auto"/>
              </w:rPr>
              <w:t>Securities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5"/>
              </w:rPr>
              <w:t>Value</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8"/>
              </w:rPr>
              <w:t>Loss</w:t>
            </w:r>
          </w:p>
        </w:tc>
        <w:tc>
          <w:tcPr>
            <w:tcW w:w="12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5"/>
              </w:rPr>
              <w:t>Value</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8"/>
              </w:rPr>
              <w:t>Loss</w:t>
            </w:r>
          </w:p>
        </w:tc>
        <w:tc>
          <w:tcPr>
            <w:tcW w:w="136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5"/>
              </w:rPr>
              <w:t>Value</w:t>
            </w:r>
          </w:p>
        </w:tc>
        <w:tc>
          <w:tcPr>
            <w:tcW w:w="940" w:type="dxa"/>
            <w:vAlign w:val="bottom"/>
          </w:tcPr>
          <w:p>
            <w:pPr>
              <w:jc w:val="right"/>
              <w:ind w:right="349"/>
              <w:spacing w:after="0" w:line="12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463,151</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(15,654)</w:t>
            </w:r>
          </w:p>
        </w:tc>
      </w:tr>
      <w:tr>
        <w:trPr>
          <w:trHeight w:val="180"/>
        </w:trPr>
        <w:tc>
          <w:tcPr>
            <w:tcW w:w="2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w:t>
            </w:r>
          </w:p>
        </w:tc>
      </w:tr>
      <w:tr>
        <w:trPr>
          <w:trHeight w:val="180"/>
        </w:trPr>
        <w:tc>
          <w:tcPr>
            <w:tcW w:w="20" w:type="dxa"/>
            <w:vAlign w:val="bottom"/>
          </w:tcPr>
          <w:p>
            <w:pPr>
              <w:spacing w:after="0"/>
              <w:rPr>
                <w:sz w:val="15"/>
                <w:szCs w:val="15"/>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49,748</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r>
      <w:tr>
        <w:trPr>
          <w:trHeight w:val="180"/>
        </w:trPr>
        <w:tc>
          <w:tcPr>
            <w:tcW w:w="2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0"/>
        </w:trPr>
        <w:tc>
          <w:tcPr>
            <w:tcW w:w="20" w:type="dxa"/>
            <w:vAlign w:val="bottom"/>
          </w:tcPr>
          <w:p>
            <w:pPr>
              <w:spacing w:after="0"/>
              <w:rPr>
                <w:sz w:val="15"/>
                <w:szCs w:val="15"/>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2,341,700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(304,579)</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2,355,235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(304,819)</w:t>
            </w:r>
          </w:p>
        </w:tc>
      </w:tr>
      <w:tr>
        <w:trPr>
          <w:trHeight w:val="180"/>
        </w:trPr>
        <w:tc>
          <w:tcPr>
            <w:tcW w:w="2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8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986,809</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(72,530)</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1,023,275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(73,572)</w:t>
            </w:r>
          </w:p>
        </w:tc>
      </w:tr>
      <w:tr>
        <w:trPr>
          <w:trHeight w:val="171"/>
        </w:trPr>
        <w:tc>
          <w:tcPr>
            <w:tcW w:w="20" w:type="dxa"/>
            <w:vAlign w:val="bottom"/>
          </w:tcPr>
          <w:p>
            <w:pPr>
              <w:spacing w:after="0"/>
              <w:rPr>
                <w:sz w:val="14"/>
                <w:szCs w:val="14"/>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available-for-sale</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662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4,165,269</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(409,981)</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4,222,679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(411,332)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respect to severity, the majority of available-for-sale debt securities with unrealized loss positions at June 30, 2025 were issued by Federal National Mortgage Association (“Fannie Mae”), Federal Home Loan Mortgage Corporation (“Freddie Mac”), Government National Mortgage Association (“Ginnie Mae”) and other agencies of the U.S. government or have credit ratings issued by one or more of the NRSRO entities in the four highest credit rating categories. All of the Company’s available-for-sale debt securities with unrealized loss positions at June 30, 2025 have been determined to be investment grade.</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did not have any past due available-for-sale debt securities as of June 30, 2025 and December 31, 2024, respectively. Accrued interest receivable on available-for-sale debt securities totaled $7,718,000 and $8,037,000 at June 30, 2025, and December 31, 2024, respectively, and was excluded from the estimate of credit losses.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Based on an analysis of its available-for-sale debt securities with unrealized losses as of June 30, 2025,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June 30, 2025, management determined it did not intend to sell available-for-sale debt securities with unrealized losses, and there was no expected requirement to sell such securities before recovery of their amortized cost. As a result, no ACL was recorded on available-for-sale debt securities at June 30, 2025.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Held-to-Maturity Debt Securities</w:t>
      </w:r>
    </w:p>
    <w:p>
      <w:pPr>
        <w:spacing w:after="0" w:line="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measured expected credit losses on held-to-maturity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held-to-maturity municipal bonds aggregated by NRSRO credit rating:</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4"/>
                <w:szCs w:val="14"/>
                <w:color w:val="auto"/>
              </w:rPr>
              <w:t>June 30,</w:t>
            </w:r>
          </w:p>
        </w:tc>
        <w:tc>
          <w:tcPr>
            <w:tcW w:w="1640" w:type="dxa"/>
            <w:vAlign w:val="bottom"/>
          </w:tcPr>
          <w:p>
            <w:pPr>
              <w:jc w:val="right"/>
              <w:ind w:right="349"/>
              <w:spacing w:after="0" w:line="143"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64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 bonds held-to-maturity</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S&amp;P: AAA / Moody’s: Aaa</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404,714</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414,147</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S&amp;P: AA+, AA, AA- / Moody’s: Aa1, Aa2, Aa3</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1,161,795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1,168,491</w:t>
            </w:r>
          </w:p>
        </w:tc>
      </w:tr>
      <w:tr>
        <w:trPr>
          <w:trHeight w:val="180"/>
        </w:trPr>
        <w:tc>
          <w:tcPr>
            <w:tcW w:w="20" w:type="dxa"/>
            <w:vAlign w:val="bottom"/>
          </w:tcPr>
          <w:p>
            <w:pPr>
              <w:spacing w:after="0"/>
              <w:rPr>
                <w:sz w:val="15"/>
                <w:szCs w:val="15"/>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S&amp;P: A+, A, A- / Moody’s: A1, A2, A3</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30,572</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33,585</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 rated by either entity</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r>
      <w:tr>
        <w:trPr>
          <w:trHeight w:val="171"/>
        </w:trPr>
        <w:tc>
          <w:tcPr>
            <w:tcW w:w="20" w:type="dxa"/>
            <w:vAlign w:val="bottom"/>
          </w:tcPr>
          <w:p>
            <w:pPr>
              <w:spacing w:after="0"/>
              <w:rPr>
                <w:sz w:val="14"/>
                <w:szCs w:val="14"/>
                <w:color w:val="auto"/>
              </w:rPr>
            </w:pPr>
          </w:p>
        </w:tc>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municipal bonds held-to-maturity</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1,600,848</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1,619,850</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24" w:name="page25"/>
    <w:bookmarkEnd w:id="24"/>
    <w:p>
      <w:pPr>
        <w:jc w:val="both"/>
        <w:spacing w:after="0" w:line="244" w:lineRule="auto"/>
        <w:rPr>
          <w:sz w:val="20"/>
          <w:szCs w:val="20"/>
          <w:color w:val="auto"/>
        </w:rPr>
      </w:pPr>
      <w:r>
        <w:rPr>
          <w:rFonts w:ascii="Times New Roman" w:cs="Times New Roman" w:eastAsia="Times New Roman" w:hAnsi="Times New Roman"/>
          <w:sz w:val="14"/>
          <w:szCs w:val="14"/>
          <w:color w:val="auto"/>
        </w:rPr>
        <w:t>The Company’s municipal bonds in the held-to-maturity debt securities portfolio is primarily comprised of general obligation and revenue bonds with NRSRO ratings in the four highest credit rating categories. All of the Company’s municipal bonds that are classified as held-to-maturity debt securities at June 30, 2025 have been determined to be investment grade. Held-to-maturity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 w:cs="Arial" w:eastAsia="Arial" w:hAnsi="Arial"/>
          <w:sz w:val="14"/>
          <w:szCs w:val="14"/>
          <w:color w:val="auto"/>
        </w:rPr>
        <w:t>.</w:t>
      </w:r>
    </w:p>
    <w:p>
      <w:pPr>
        <w:spacing w:after="0" w:line="1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30, 2025 and December 31, 2024, the Company did not have any held-to-maturity debt securities past due. Accrued interest receivable on held-to-maturity debt securities totaled $16,333,000 and $16,538,000 at June 30, 2025 and December 31, 2024, respectively, and were excluded from the estimate of credit losses.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Based on the Company’s evaluation, an insignificant amount of credit losses is expected on the held-to-maturity debt securities portfolio; therefore, no ACL was recorded at June 30, 2025 or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3. Loans Receivable, Net</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61"/>
        </w:trPr>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presents loans receivable for each portfolio segment of loans: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June 30,</w:t>
            </w:r>
          </w:p>
        </w:tc>
        <w:tc>
          <w:tcPr>
            <w:tcW w:w="16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20" w:type="dxa"/>
            <w:vAlign w:val="bottom"/>
          </w:tcPr>
          <w:p>
            <w:pPr>
              <w:spacing w:after="0"/>
              <w:rPr>
                <w:sz w:val="12"/>
                <w:szCs w:val="12"/>
                <w:color w:val="auto"/>
              </w:rPr>
            </w:pPr>
          </w:p>
        </w:tc>
        <w:tc>
          <w:tcPr>
            <w:tcW w:w="78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640" w:type="dxa"/>
            <w:vAlign w:val="bottom"/>
          </w:tcPr>
          <w:p>
            <w:pPr>
              <w:jc w:val="right"/>
              <w:ind w:right="609"/>
              <w:spacing w:after="0" w:line="122"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1,931,554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1,858,929</w:t>
            </w:r>
          </w:p>
        </w:tc>
      </w:tr>
      <w:tr>
        <w:trPr>
          <w:trHeight w:val="180"/>
        </w:trPr>
        <w:tc>
          <w:tcPr>
            <w:tcW w:w="20" w:type="dxa"/>
            <w:vAlign w:val="bottom"/>
          </w:tcPr>
          <w:p>
            <w:pPr>
              <w:spacing w:after="0"/>
              <w:rPr>
                <w:sz w:val="15"/>
                <w:szCs w:val="15"/>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11,935,109</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10,963,713</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3,303,889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3,119,535</w:t>
            </w:r>
          </w:p>
        </w:tc>
      </w:tr>
      <w:tr>
        <w:trPr>
          <w:trHeight w:val="180"/>
        </w:trPr>
        <w:tc>
          <w:tcPr>
            <w:tcW w:w="20" w:type="dxa"/>
            <w:vAlign w:val="bottom"/>
          </w:tcPr>
          <w:p>
            <w:pPr>
              <w:spacing w:after="0"/>
              <w:rPr>
                <w:sz w:val="15"/>
                <w:szCs w:val="15"/>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975,429</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930,994</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386,759</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388,678</w:t>
            </w:r>
          </w:p>
        </w:tc>
      </w:tr>
      <w:tr>
        <w:trPr>
          <w:trHeight w:val="171"/>
        </w:trPr>
        <w:tc>
          <w:tcPr>
            <w:tcW w:w="20" w:type="dxa"/>
            <w:vAlign w:val="bottom"/>
          </w:tcPr>
          <w:p>
            <w:pPr>
              <w:spacing w:after="0"/>
              <w:rPr>
                <w:sz w:val="14"/>
                <w:szCs w:val="14"/>
                <w:color w:val="auto"/>
              </w:rPr>
            </w:pPr>
          </w:p>
        </w:tc>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Loans receivable</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18,532,740</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17,261,849</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(226,799)</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(206,041)</w:t>
            </w:r>
          </w:p>
        </w:tc>
      </w:tr>
      <w:tr>
        <w:trPr>
          <w:trHeight w:val="171"/>
        </w:trPr>
        <w:tc>
          <w:tcPr>
            <w:tcW w:w="20" w:type="dxa"/>
            <w:vAlign w:val="bottom"/>
          </w:tcPr>
          <w:p>
            <w:pPr>
              <w:spacing w:after="0"/>
              <w:rPr>
                <w:sz w:val="14"/>
                <w:szCs w:val="14"/>
                <w:color w:val="auto"/>
              </w:rPr>
            </w:pPr>
          </w:p>
        </w:tc>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Loans receivable, net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18,305,941</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17,055,808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origination fees included in loans receivable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(29,187)</w:t>
            </w:r>
          </w:p>
        </w:tc>
      </w:tr>
      <w:tr>
        <w:trPr>
          <w:trHeight w:val="180"/>
        </w:trPr>
        <w:tc>
          <w:tcPr>
            <w:tcW w:w="20" w:type="dxa"/>
            <w:vAlign w:val="bottom"/>
          </w:tcPr>
          <w:p>
            <w:pPr>
              <w:spacing w:after="0"/>
              <w:rPr>
                <w:sz w:val="15"/>
                <w:szCs w:val="15"/>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purchase accounting discounts included in loans receivable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(38,344)</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(34,361)</w:t>
            </w: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 receivable on loans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73,935</w:t>
            </w: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Substantially all of the Company’s loans receivable are with borrowers in the Company’s geographic market areas. Although the Company has a diversified loan portfolio, a substantial portion of borrowers’ ability to service their obligations is dependent upon the economic performance in the Company’s markets.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had no significant purchases, other than from acquisitions, or sales of portfolio loans or reclassification of loans held for investment to loans held for sale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Loans Receivable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ACL is a valuation account that is deducted from the amortized cost basis to present the net amount expected to be collected on loans. The following tables summarize the activity in the ACL:</w:t>
      </w:r>
    </w:p>
    <w:p>
      <w:pPr>
        <w:spacing w:after="0" w:line="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Three Months ended June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Residential Real</w:t>
            </w:r>
          </w:p>
        </w:tc>
        <w:tc>
          <w:tcPr>
            <w:tcW w:w="1320" w:type="dxa"/>
            <w:vAlign w:val="bottom"/>
            <w:tcBorders>
              <w:top w:val="single" w:sz="8" w:color="auto"/>
            </w:tcBorders>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Commercial Real</w:t>
            </w:r>
          </w:p>
        </w:tc>
        <w:tc>
          <w:tcPr>
            <w:tcW w:w="1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ind w:left="22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4"/>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Estate</w:t>
            </w:r>
          </w:p>
        </w:tc>
        <w:tc>
          <w:tcPr>
            <w:tcW w:w="132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Estate</w:t>
            </w:r>
          </w:p>
        </w:tc>
        <w:tc>
          <w:tcPr>
            <w:tcW w:w="1340" w:type="dxa"/>
            <w:vAlign w:val="bottom"/>
            <w:gridSpan w:val="4"/>
          </w:tcPr>
          <w:p>
            <w:pPr>
              <w:ind w:left="100"/>
              <w:spacing w:after="0" w:line="129" w:lineRule="exact"/>
              <w:rPr>
                <w:sz w:val="20"/>
                <w:szCs w:val="20"/>
                <w:color w:val="auto"/>
              </w:rPr>
            </w:pPr>
            <w:r>
              <w:rPr>
                <w:rFonts w:ascii="Times New Roman" w:cs="Times New Roman" w:eastAsia="Times New Roman" w:hAnsi="Times New Roman"/>
                <w:sz w:val="14"/>
                <w:szCs w:val="14"/>
                <w:color w:val="auto"/>
              </w:rPr>
              <w:t>Other Commercial</w:t>
            </w:r>
          </w:p>
        </w:tc>
        <w:tc>
          <w:tcPr>
            <w:tcW w:w="134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color w:val="auto"/>
              </w:rPr>
              <w:t>Home Equity</w:t>
            </w:r>
          </w:p>
        </w:tc>
        <w:tc>
          <w:tcPr>
            <w:tcW w:w="124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color w:val="auto"/>
              </w:rPr>
              <w:t>Other 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210,400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11,348</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1,694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6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226,799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27,915</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152,189</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28,316</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6,678</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Residential Real</w:t>
            </w:r>
          </w:p>
        </w:tc>
        <w:tc>
          <w:tcPr>
            <w:tcW w:w="132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Commercial Real</w:t>
            </w: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ind w:left="22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4"/>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Estate</w:t>
            </w:r>
          </w:p>
        </w:tc>
        <w:tc>
          <w:tcPr>
            <w:tcW w:w="132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Estate</w:t>
            </w:r>
          </w:p>
        </w:tc>
        <w:tc>
          <w:tcPr>
            <w:tcW w:w="1340" w:type="dxa"/>
            <w:vAlign w:val="bottom"/>
            <w:gridSpan w:val="4"/>
          </w:tcPr>
          <w:p>
            <w:pPr>
              <w:ind w:left="100"/>
              <w:spacing w:after="0" w:line="129" w:lineRule="exact"/>
              <w:rPr>
                <w:sz w:val="20"/>
                <w:szCs w:val="20"/>
                <w:color w:val="auto"/>
              </w:rPr>
            </w:pPr>
            <w:r>
              <w:rPr>
                <w:rFonts w:ascii="Times New Roman" w:cs="Times New Roman" w:eastAsia="Times New Roman" w:hAnsi="Times New Roman"/>
                <w:sz w:val="14"/>
                <w:szCs w:val="14"/>
                <w:color w:val="auto"/>
              </w:rPr>
              <w:t>Other Commercial</w:t>
            </w:r>
          </w:p>
        </w:tc>
        <w:tc>
          <w:tcPr>
            <w:tcW w:w="134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color w:val="auto"/>
              </w:rPr>
              <w:t>Home Equity</w:t>
            </w:r>
          </w:p>
        </w:tc>
        <w:tc>
          <w:tcPr>
            <w:tcW w:w="124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color w:val="auto"/>
              </w:rPr>
              <w:t>Other 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198,779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5,066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(4,135)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(1,461)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r>
      <w:tr>
        <w:trPr>
          <w:trHeight w:val="180"/>
        </w:trPr>
        <w:tc>
          <w:tcPr>
            <w:tcW w:w="2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1,245</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200,955</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24,653</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136,346</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22,219</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color w:val="auto"/>
              </w:rPr>
              <w:t>Six Months ended June 30, 2025</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Residential Real</w:t>
            </w:r>
          </w:p>
        </w:tc>
        <w:tc>
          <w:tcPr>
            <w:tcW w:w="132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rPr>
              <w:t>Commercial Real</w:t>
            </w: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ind w:left="160"/>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4"/>
                <w:szCs w:val="14"/>
                <w:color w:val="auto"/>
                <w:w w:val="99"/>
              </w:rPr>
              <w:t>Estate</w:t>
            </w:r>
          </w:p>
        </w:tc>
        <w:tc>
          <w:tcPr>
            <w:tcW w:w="1320" w:type="dxa"/>
            <w:vAlign w:val="bottom"/>
            <w:gridSpan w:val="4"/>
          </w:tcPr>
          <w:p>
            <w:pPr>
              <w:jc w:val="center"/>
              <w:ind w:right="180"/>
              <w:spacing w:after="0" w:line="122" w:lineRule="exact"/>
              <w:rPr>
                <w:sz w:val="20"/>
                <w:szCs w:val="20"/>
                <w:color w:val="auto"/>
              </w:rPr>
            </w:pPr>
            <w:r>
              <w:rPr>
                <w:rFonts w:ascii="Times New Roman" w:cs="Times New Roman" w:eastAsia="Times New Roman" w:hAnsi="Times New Roman"/>
                <w:sz w:val="14"/>
                <w:szCs w:val="14"/>
                <w:color w:val="auto"/>
                <w:w w:val="99"/>
              </w:rPr>
              <w:t>Estate</w:t>
            </w:r>
          </w:p>
        </w:tc>
        <w:tc>
          <w:tcPr>
            <w:tcW w:w="1340" w:type="dxa"/>
            <w:vAlign w:val="bottom"/>
            <w:gridSpan w:val="4"/>
          </w:tcPr>
          <w:p>
            <w:pPr>
              <w:ind w:left="80"/>
              <w:spacing w:after="0" w:line="122" w:lineRule="exact"/>
              <w:rPr>
                <w:sz w:val="20"/>
                <w:szCs w:val="20"/>
                <w:color w:val="auto"/>
              </w:rPr>
            </w:pPr>
            <w:r>
              <w:rPr>
                <w:rFonts w:ascii="Times New Roman" w:cs="Times New Roman" w:eastAsia="Times New Roman" w:hAnsi="Times New Roman"/>
                <w:sz w:val="14"/>
                <w:szCs w:val="14"/>
                <w:color w:val="auto"/>
              </w:rPr>
              <w:t>Other Commercial</w:t>
            </w:r>
          </w:p>
        </w:tc>
        <w:tc>
          <w:tcPr>
            <w:tcW w:w="134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4"/>
                <w:szCs w:val="14"/>
                <w:color w:val="auto"/>
              </w:rPr>
              <w:t>Home Equity</w:t>
            </w:r>
          </w:p>
        </w:tc>
        <w:tc>
          <w:tcPr>
            <w:tcW w:w="1240" w:type="dxa"/>
            <w:vAlign w:val="bottom"/>
          </w:tcPr>
          <w:p>
            <w:pPr>
              <w:jc w:val="right"/>
              <w:ind w:right="89"/>
              <w:spacing w:after="0" w:line="122" w:lineRule="exact"/>
              <w:rPr>
                <w:sz w:val="20"/>
                <w:szCs w:val="20"/>
                <w:color w:val="auto"/>
              </w:rPr>
            </w:pPr>
            <w:r>
              <w:rPr>
                <w:rFonts w:ascii="Times New Roman" w:cs="Times New Roman" w:eastAsia="Times New Roman" w:hAnsi="Times New Roman"/>
                <w:sz w:val="14"/>
                <w:szCs w:val="14"/>
                <w:color w:val="auto"/>
              </w:rPr>
              <w:t>Other 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138,545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2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226,799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152,189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6,678</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rPr>
              <w:t>Residential Real</w:t>
            </w:r>
          </w:p>
        </w:tc>
        <w:tc>
          <w:tcPr>
            <w:tcW w:w="1320" w:type="dxa"/>
            <w:vAlign w:val="bottom"/>
            <w:gridSpan w:val="4"/>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Commercial Real</w:t>
            </w: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ind w:left="16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w w:val="99"/>
              </w:rPr>
              <w:t>Estate</w:t>
            </w:r>
          </w:p>
        </w:tc>
        <w:tc>
          <w:tcPr>
            <w:tcW w:w="1320" w:type="dxa"/>
            <w:vAlign w:val="bottom"/>
            <w:gridSpan w:val="4"/>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w w:val="99"/>
              </w:rPr>
              <w:t>Estate</w:t>
            </w:r>
          </w:p>
        </w:tc>
        <w:tc>
          <w:tcPr>
            <w:tcW w:w="134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4"/>
                <w:szCs w:val="14"/>
                <w:color w:val="auto"/>
              </w:rPr>
              <w:t>Other Commercial</w:t>
            </w:r>
          </w:p>
        </w:tc>
        <w:tc>
          <w:tcPr>
            <w:tcW w:w="134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color w:val="auto"/>
              </w:rPr>
              <w:t>Home Equity</w:t>
            </w:r>
          </w:p>
        </w:tc>
        <w:tc>
          <w:tcPr>
            <w:tcW w:w="124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color w:val="auto"/>
              </w:rPr>
              <w:t>Other 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192,757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130,924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2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136,346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2025, the ACL increased primarily due to the $14,594,000 provision for credit losses recorded as a result of the acquisition of Bank of Idaho. During the six months ended June 30, 2024, the ACL increased primarily as a result of the $5,271,000 provision for credit losses recorded as a result of the acquisition of Wheatland bank.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color w:val="auto"/>
        </w:rPr>
        <w:t>The sizeable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 During the six months ended June 30, 2025, there have been no significant changes to the types of collateral securing collateral-dependent loans.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Aging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an aging analysis of the recorded investment in loans: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30, 2025</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80" w:type="dxa"/>
            <w:vAlign w:val="bottom"/>
          </w:tcPr>
          <w:p>
            <w:pPr>
              <w:spacing w:after="0"/>
              <w:rPr>
                <w:sz w:val="12"/>
                <w:szCs w:val="12"/>
                <w:color w:val="auto"/>
              </w:rPr>
            </w:pPr>
          </w:p>
        </w:tc>
        <w:tc>
          <w:tcPr>
            <w:tcW w:w="10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30-59 days past due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41,100</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9,625</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Accruing loans 60-89 days past due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90 days or more past due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Non-accrual loans with no ACL</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34,914</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 with ACL</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18"/>
        </w:trPr>
        <w:tc>
          <w:tcPr>
            <w:tcW w:w="20" w:type="dxa"/>
            <w:vAlign w:val="bottom"/>
          </w:tcPr>
          <w:p>
            <w:pPr>
              <w:spacing w:after="0"/>
              <w:rPr>
                <w:sz w:val="10"/>
                <w:szCs w:val="10"/>
                <w:color w:val="auto"/>
              </w:rPr>
            </w:pPr>
          </w:p>
        </w:tc>
        <w:tc>
          <w:tcPr>
            <w:tcW w:w="340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color w:val="auto"/>
              </w:rPr>
              <w:t>Total past due and</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r>
      <w:tr>
        <w:trPr>
          <w:trHeight w:val="191"/>
        </w:trPr>
        <w:tc>
          <w:tcPr>
            <w:tcW w:w="20" w:type="dxa"/>
            <w:vAlign w:val="bottom"/>
          </w:tcPr>
          <w:p>
            <w:pPr>
              <w:spacing w:after="0"/>
              <w:rPr>
                <w:sz w:val="16"/>
                <w:szCs w:val="16"/>
                <w:color w:val="auto"/>
              </w:rPr>
            </w:pPr>
          </w:p>
        </w:tc>
        <w:tc>
          <w:tcPr>
            <w:tcW w:w="3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non-accrual loans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101,130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20,417</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34,815</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9,034</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r>
      <w:tr>
        <w:trPr>
          <w:trHeight w:val="181"/>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loans receivable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18,431,610</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1,911,137</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11,900,294</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3,271,729</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966,395</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382,055</w:t>
            </w:r>
          </w:p>
        </w:tc>
      </w:tr>
      <w:tr>
        <w:trPr>
          <w:trHeight w:val="171"/>
        </w:trPr>
        <w:tc>
          <w:tcPr>
            <w:tcW w:w="2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18,532,740</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1,931,554</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11,935,109</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3,303,889</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975,429</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386,759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80" w:type="dxa"/>
            <w:vAlign w:val="bottom"/>
          </w:tcPr>
          <w:p>
            <w:pPr>
              <w:spacing w:after="0"/>
              <w:rPr>
                <w:sz w:val="12"/>
                <w:szCs w:val="12"/>
                <w:color w:val="auto"/>
              </w:rPr>
            </w:pPr>
          </w:p>
        </w:tc>
        <w:tc>
          <w:tcPr>
            <w:tcW w:w="10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30-59 days past due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25,347</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Accruing loans 60-89 days past due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90 days or more past due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Non-accrual loans with no ACL</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20,060</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 with ACL</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71"/>
        </w:trPr>
        <w:tc>
          <w:tcPr>
            <w:tcW w:w="2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past due and non-accrual loans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58,850</w:t>
            </w:r>
          </w:p>
        </w:tc>
        <w:tc>
          <w:tcPr>
            <w:tcW w:w="8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14,033</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22,555</w:t>
            </w:r>
          </w:p>
        </w:tc>
        <w:tc>
          <w:tcPr>
            <w:tcW w:w="10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10,284</w:t>
            </w:r>
          </w:p>
        </w:tc>
        <w:tc>
          <w:tcPr>
            <w:tcW w:w="8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7,136</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w:t>
            </w: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loans receivable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17,202,999</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1,844,896</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10,941,158</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3,109,251</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923,858</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383,836</w:t>
            </w:r>
          </w:p>
        </w:tc>
      </w:tr>
      <w:tr>
        <w:trPr>
          <w:trHeight w:val="171"/>
        </w:trPr>
        <w:tc>
          <w:tcPr>
            <w:tcW w:w="2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388,678</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$715,000 and $25,000 of interest reversed on non-accrual loans during the six months ended June 30, 2025 and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auto"/>
        </w:rPr>
        <w:t>Collateral-Dependent Loans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the six months ended June 30, 2025, there were no significant changes to collateral which secures the collateral-dependent loans, whether due to general deterioration or other reasons. The following tables present the amortized cost basis of collateral-dependent loans by collateral type: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30, 2025</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80" w:type="dxa"/>
            <w:vAlign w:val="bottom"/>
          </w:tcPr>
          <w:p>
            <w:pPr>
              <w:spacing w:after="0"/>
              <w:rPr>
                <w:sz w:val="12"/>
                <w:szCs w:val="12"/>
                <w:color w:val="auto"/>
              </w:rPr>
            </w:pPr>
          </w:p>
        </w:tc>
        <w:tc>
          <w:tcPr>
            <w:tcW w:w="10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assets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13,277</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13,277</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14,484</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7,353</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19,313</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0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80" w:type="dxa"/>
            <w:vAlign w:val="bottom"/>
          </w:tcPr>
          <w:p>
            <w:pPr>
              <w:spacing w:after="0"/>
              <w:rPr>
                <w:sz w:val="12"/>
                <w:szCs w:val="12"/>
                <w:color w:val="auto"/>
              </w:rPr>
            </w:pPr>
          </w:p>
        </w:tc>
        <w:tc>
          <w:tcPr>
            <w:tcW w:w="10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3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34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assets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14,425</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0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 Modifications Made to Borrowers Experiencing Financial Difficulty</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disclosures for loan modifications made to borrowers experiencing financial difficulty (“MBFD”) are presented in accordance with ASC Topic 310. The following tables show the amortized cost basis of MBFD loans by segment for the periods presented: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color w:val="auto"/>
              </w:rPr>
              <w:t>At or for the Three Months ended June 30, 2025</w:t>
            </w:r>
          </w:p>
        </w:tc>
        <w:tc>
          <w:tcPr>
            <w:tcW w:w="900" w:type="dxa"/>
            <w:vAlign w:val="bottom"/>
            <w:tcBorders>
              <w:bottom w:val="single" w:sz="8" w:color="auto"/>
            </w:tcBorders>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gridSpan w:val="4"/>
          </w:tcPr>
          <w:p>
            <w:pPr>
              <w:jc w:val="center"/>
              <w:ind w:right="409"/>
              <w:spacing w:after="0" w:line="135" w:lineRule="exact"/>
              <w:rPr>
                <w:sz w:val="20"/>
                <w:szCs w:val="20"/>
                <w:color w:val="auto"/>
              </w:rPr>
            </w:pPr>
            <w:r>
              <w:rPr>
                <w:rFonts w:ascii="Times New Roman" w:cs="Times New Roman" w:eastAsia="Times New Roman" w:hAnsi="Times New Roman"/>
                <w:sz w:val="14"/>
                <w:szCs w:val="14"/>
                <w:color w:val="auto"/>
                <w:w w:val="99"/>
              </w:rPr>
              <w:t>Combination - Term Extension and</w:t>
            </w:r>
          </w:p>
        </w:tc>
        <w:tc>
          <w:tcPr>
            <w:tcW w:w="900" w:type="dxa"/>
            <w:vAlign w:val="bottom"/>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tcPr>
          <w:p>
            <w:pPr>
              <w:jc w:val="right"/>
              <w:ind w:right="269"/>
              <w:spacing w:after="0"/>
              <w:rPr>
                <w:sz w:val="20"/>
                <w:szCs w:val="20"/>
                <w:color w:val="auto"/>
              </w:rPr>
            </w:pPr>
            <w:r>
              <w:rPr>
                <w:rFonts w:ascii="Times New Roman" w:cs="Times New Roman" w:eastAsia="Times New Roman" w:hAnsi="Times New Roman"/>
                <w:sz w:val="14"/>
                <w:szCs w:val="14"/>
                <w:color w:val="auto"/>
                <w:w w:val="99"/>
              </w:rPr>
              <w:t>Term Extension and Payment Deferral</w:t>
            </w:r>
          </w:p>
        </w:tc>
        <w:tc>
          <w:tcPr>
            <w:tcW w:w="2580" w:type="dxa"/>
            <w:vAlign w:val="bottom"/>
            <w:gridSpan w:val="4"/>
          </w:tcPr>
          <w:p>
            <w:pPr>
              <w:jc w:val="center"/>
              <w:ind w:right="409"/>
              <w:spacing w:after="0"/>
              <w:rPr>
                <w:sz w:val="20"/>
                <w:szCs w:val="20"/>
                <w:color w:val="auto"/>
              </w:rPr>
            </w:pPr>
            <w:r>
              <w:rPr>
                <w:rFonts w:ascii="Times New Roman" w:cs="Times New Roman" w:eastAsia="Times New Roman" w:hAnsi="Times New Roman"/>
                <w:sz w:val="14"/>
                <w:szCs w:val="14"/>
                <w:color w:val="auto"/>
              </w:rPr>
              <w:t>Interest Rate Reduction</w:t>
            </w:r>
          </w:p>
        </w:tc>
        <w:tc>
          <w:tcPr>
            <w:tcW w:w="9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69"/>
              <w:spacing w:after="0" w:line="135" w:lineRule="exact"/>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9"/>
              <w:spacing w:after="0" w:line="135" w:lineRule="exact"/>
              <w:rPr>
                <w:sz w:val="20"/>
                <w:szCs w:val="20"/>
                <w:color w:val="auto"/>
              </w:rPr>
            </w:pPr>
            <w:r>
              <w:rPr>
                <w:rFonts w:ascii="Times New Roman" w:cs="Times New Roman" w:eastAsia="Times New Roman" w:hAnsi="Times New Roman"/>
                <w:sz w:val="14"/>
                <w:szCs w:val="14"/>
                <w:color w:val="auto"/>
              </w:rPr>
              <w:t>Amortized Cost</w:t>
            </w:r>
          </w:p>
        </w:tc>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51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080" w:type="dxa"/>
            <w:vAlign w:val="bottom"/>
          </w:tcPr>
          <w:p>
            <w:pPr>
              <w:jc w:val="right"/>
              <w:ind w:right="369"/>
              <w:spacing w:after="0" w:line="122" w:lineRule="exact"/>
              <w:rPr>
                <w:sz w:val="20"/>
                <w:szCs w:val="20"/>
                <w:color w:val="auto"/>
              </w:rPr>
            </w:pPr>
            <w:r>
              <w:rPr>
                <w:rFonts w:ascii="Times New Roman" w:cs="Times New Roman" w:eastAsia="Times New Roman" w:hAnsi="Times New Roman"/>
                <w:sz w:val="14"/>
                <w:szCs w:val="14"/>
                <w:color w:val="auto"/>
              </w:rPr>
              <w:t>Basis</w:t>
            </w:r>
          </w:p>
        </w:tc>
        <w:tc>
          <w:tcPr>
            <w:tcW w:w="160" w:type="dxa"/>
            <w:vAlign w:val="bottom"/>
          </w:tcPr>
          <w:p>
            <w:pPr>
              <w:spacing w:after="0"/>
              <w:rPr>
                <w:sz w:val="12"/>
                <w:szCs w:val="12"/>
                <w:color w:val="auto"/>
              </w:rPr>
            </w:pPr>
          </w:p>
        </w:tc>
        <w:tc>
          <w:tcPr>
            <w:tcW w:w="128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4"/>
                <w:szCs w:val="14"/>
                <w:color w:val="auto"/>
              </w:rPr>
              <w:t>% of Total Class</w:t>
            </w:r>
          </w:p>
        </w:tc>
        <w:tc>
          <w:tcPr>
            <w:tcW w:w="106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4"/>
                <w:szCs w:val="14"/>
                <w:color w:val="auto"/>
                <w:w w:val="98"/>
              </w:rPr>
              <w:t>Basis</w:t>
            </w:r>
          </w:p>
        </w:tc>
        <w:tc>
          <w:tcPr>
            <w:tcW w:w="1520" w:type="dxa"/>
            <w:vAlign w:val="bottom"/>
            <w:gridSpan w:val="3"/>
          </w:tcPr>
          <w:p>
            <w:pPr>
              <w:ind w:left="160"/>
              <w:spacing w:after="0" w:line="122" w:lineRule="exact"/>
              <w:rPr>
                <w:sz w:val="20"/>
                <w:szCs w:val="20"/>
                <w:color w:val="auto"/>
              </w:rPr>
            </w:pPr>
            <w:r>
              <w:rPr>
                <w:rFonts w:ascii="Times New Roman" w:cs="Times New Roman" w:eastAsia="Times New Roman" w:hAnsi="Times New Roman"/>
                <w:sz w:val="14"/>
                <w:szCs w:val="14"/>
                <w:color w:val="auto"/>
              </w:rPr>
              <w:t>% of Total Class</w:t>
            </w:r>
          </w:p>
        </w:tc>
        <w:tc>
          <w:tcPr>
            <w:tcW w:w="900" w:type="dxa"/>
            <w:vAlign w:val="bottom"/>
          </w:tcPr>
          <w:p>
            <w:pPr>
              <w:jc w:val="right"/>
              <w:ind w:right="369"/>
              <w:spacing w:after="0" w:line="122" w:lineRule="exact"/>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r>
      <w:tr>
        <w:trPr>
          <w:trHeight w:val="180"/>
        </w:trPr>
        <w:tc>
          <w:tcPr>
            <w:tcW w:w="2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60" w:type="dxa"/>
            <w:vAlign w:val="bottom"/>
          </w:tcPr>
          <w:p>
            <w:pPr>
              <w:spacing w:after="0"/>
              <w:rPr>
                <w:sz w:val="15"/>
                <w:szCs w:val="15"/>
                <w:color w:val="auto"/>
              </w:rPr>
            </w:pPr>
          </w:p>
        </w:tc>
        <w:tc>
          <w:tcPr>
            <w:tcW w:w="12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16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9"/>
          </w:tcPr>
          <w:p>
            <w:pPr>
              <w:jc w:val="center"/>
              <w:ind w:right="309"/>
              <w:spacing w:after="0"/>
              <w:rPr>
                <w:sz w:val="20"/>
                <w:szCs w:val="20"/>
                <w:color w:val="auto"/>
              </w:rPr>
            </w:pPr>
            <w:r>
              <w:rPr>
                <w:rFonts w:ascii="Times New Roman" w:cs="Times New Roman" w:eastAsia="Times New Roman" w:hAnsi="Times New Roman"/>
                <w:sz w:val="14"/>
                <w:szCs w:val="14"/>
                <w:color w:val="auto"/>
              </w:rPr>
              <w:t>At or for the Three Months ended June 30, 2024</w:t>
            </w:r>
          </w:p>
        </w:tc>
        <w:tc>
          <w:tcPr>
            <w:tcW w:w="90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5"/>
          </w:tcPr>
          <w:p>
            <w:pPr>
              <w:jc w:val="center"/>
              <w:ind w:right="409"/>
              <w:spacing w:after="0" w:line="129" w:lineRule="exact"/>
              <w:rPr>
                <w:sz w:val="20"/>
                <w:szCs w:val="20"/>
                <w:color w:val="auto"/>
              </w:rPr>
            </w:pPr>
            <w:r>
              <w:rPr>
                <w:rFonts w:ascii="Times New Roman" w:cs="Times New Roman" w:eastAsia="Times New Roman" w:hAnsi="Times New Roman"/>
                <w:sz w:val="14"/>
                <w:szCs w:val="14"/>
                <w:color w:val="auto"/>
                <w:w w:val="99"/>
              </w:rPr>
              <w:t>Combination - Term Extension and</w:t>
            </w:r>
          </w:p>
        </w:tc>
        <w:tc>
          <w:tcPr>
            <w:tcW w:w="90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Term Extension and Payment Deferral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jc w:val="center"/>
              <w:ind w:right="409"/>
              <w:spacing w:after="0"/>
              <w:rPr>
                <w:sz w:val="20"/>
                <w:szCs w:val="20"/>
                <w:color w:val="auto"/>
              </w:rPr>
            </w:pPr>
            <w:r>
              <w:rPr>
                <w:rFonts w:ascii="Times New Roman" w:cs="Times New Roman" w:eastAsia="Times New Roman" w:hAnsi="Times New Roman"/>
                <w:sz w:val="14"/>
                <w:szCs w:val="14"/>
                <w:color w:val="auto"/>
              </w:rPr>
              <w:t>Interest Rate Reduction</w:t>
            </w:r>
          </w:p>
        </w:tc>
        <w:tc>
          <w:tcPr>
            <w:tcW w:w="90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rPr>
              <w:t>Amortized Cost</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rPr>
              <w:t>Amortized Cost</w:t>
            </w:r>
          </w:p>
        </w:tc>
        <w:tc>
          <w:tcPr>
            <w:tcW w:w="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w w:val="98"/>
              </w:rPr>
              <w:t>Basis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 of Total Class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w w:val="98"/>
              </w:rPr>
              <w:t>Basis</w:t>
            </w:r>
          </w:p>
        </w:tc>
        <w:tc>
          <w:tcPr>
            <w:tcW w:w="20" w:type="dxa"/>
            <w:vAlign w:val="bottom"/>
          </w:tcPr>
          <w:p>
            <w:pPr>
              <w:spacing w:after="0"/>
              <w:rPr>
                <w:sz w:val="12"/>
                <w:szCs w:val="12"/>
                <w:color w:val="auto"/>
              </w:rPr>
            </w:pPr>
          </w:p>
        </w:tc>
        <w:tc>
          <w:tcPr>
            <w:tcW w:w="1500" w:type="dxa"/>
            <w:vAlign w:val="bottom"/>
            <w:gridSpan w:val="3"/>
          </w:tcPr>
          <w:p>
            <w:pPr>
              <w:jc w:val="right"/>
              <w:ind w:right="349"/>
              <w:spacing w:after="0" w:line="129" w:lineRule="exact"/>
              <w:rPr>
                <w:sz w:val="20"/>
                <w:szCs w:val="20"/>
                <w:color w:val="auto"/>
              </w:rPr>
            </w:pPr>
            <w:r>
              <w:rPr>
                <w:rFonts w:ascii="Times New Roman" w:cs="Times New Roman" w:eastAsia="Times New Roman" w:hAnsi="Times New Roman"/>
                <w:sz w:val="14"/>
                <w:szCs w:val="14"/>
                <w:color w:val="auto"/>
              </w:rPr>
              <w:t>% of Total Class</w:t>
            </w:r>
          </w:p>
        </w:tc>
        <w:tc>
          <w:tcPr>
            <w:tcW w:w="90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52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Commercial real</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91"/>
        </w:trPr>
        <w:tc>
          <w:tcPr>
            <w:tcW w:w="20" w:type="dxa"/>
            <w:vAlign w:val="bottom"/>
            <w:shd w:val="clear" w:color="auto" w:fill="CCEEFF"/>
          </w:tcPr>
          <w:p>
            <w:pPr>
              <w:spacing w:after="0"/>
              <w:rPr>
                <w:sz w:val="16"/>
                <w:szCs w:val="16"/>
                <w:color w:val="auto"/>
              </w:rPr>
            </w:pPr>
          </w:p>
        </w:tc>
        <w:tc>
          <w:tcPr>
            <w:tcW w:w="5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50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center"/>
              <w:ind w:right="309"/>
              <w:spacing w:after="0"/>
              <w:rPr>
                <w:sz w:val="20"/>
                <w:szCs w:val="20"/>
                <w:color w:val="auto"/>
              </w:rPr>
            </w:pPr>
            <w:r>
              <w:rPr>
                <w:rFonts w:ascii="Times New Roman" w:cs="Times New Roman" w:eastAsia="Times New Roman" w:hAnsi="Times New Roman"/>
                <w:sz w:val="14"/>
                <w:szCs w:val="14"/>
                <w:color w:val="auto"/>
              </w:rPr>
              <w:t>At or for the Six Months ended June 30, 2025</w:t>
            </w:r>
          </w:p>
        </w:tc>
        <w:tc>
          <w:tcPr>
            <w:tcW w:w="90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5"/>
          </w:tcPr>
          <w:p>
            <w:pPr>
              <w:jc w:val="center"/>
              <w:ind w:right="409"/>
              <w:spacing w:after="0" w:line="129" w:lineRule="exact"/>
              <w:rPr>
                <w:sz w:val="20"/>
                <w:szCs w:val="20"/>
                <w:color w:val="auto"/>
              </w:rPr>
            </w:pPr>
            <w:r>
              <w:rPr>
                <w:rFonts w:ascii="Times New Roman" w:cs="Times New Roman" w:eastAsia="Times New Roman" w:hAnsi="Times New Roman"/>
                <w:sz w:val="14"/>
                <w:szCs w:val="14"/>
                <w:color w:val="auto"/>
                <w:w w:val="99"/>
              </w:rPr>
              <w:t>Combination - Term Extension and</w:t>
            </w:r>
          </w:p>
        </w:tc>
        <w:tc>
          <w:tcPr>
            <w:tcW w:w="90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Term Extension and Payment Deferral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jc w:val="center"/>
              <w:ind w:right="409"/>
              <w:spacing w:after="0"/>
              <w:rPr>
                <w:sz w:val="20"/>
                <w:szCs w:val="20"/>
                <w:color w:val="auto"/>
              </w:rPr>
            </w:pPr>
            <w:r>
              <w:rPr>
                <w:rFonts w:ascii="Times New Roman" w:cs="Times New Roman" w:eastAsia="Times New Roman" w:hAnsi="Times New Roman"/>
                <w:sz w:val="14"/>
                <w:szCs w:val="14"/>
                <w:color w:val="auto"/>
              </w:rPr>
              <w:t>Interest Rate Reduction</w:t>
            </w:r>
          </w:p>
        </w:tc>
        <w:tc>
          <w:tcPr>
            <w:tcW w:w="90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rPr>
              <w:t>Amortized Cost</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rPr>
              <w:t>Amortized Cost</w:t>
            </w:r>
          </w:p>
        </w:tc>
        <w:tc>
          <w:tcPr>
            <w:tcW w:w="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w w:val="98"/>
              </w:rPr>
              <w:t>Basis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 of Total Class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w w:val="98"/>
              </w:rPr>
              <w:t>Basis</w:t>
            </w:r>
          </w:p>
        </w:tc>
        <w:tc>
          <w:tcPr>
            <w:tcW w:w="20" w:type="dxa"/>
            <w:vAlign w:val="bottom"/>
          </w:tcPr>
          <w:p>
            <w:pPr>
              <w:spacing w:after="0"/>
              <w:rPr>
                <w:sz w:val="12"/>
                <w:szCs w:val="12"/>
                <w:color w:val="auto"/>
              </w:rPr>
            </w:pPr>
          </w:p>
        </w:tc>
        <w:tc>
          <w:tcPr>
            <w:tcW w:w="1500" w:type="dxa"/>
            <w:vAlign w:val="bottom"/>
            <w:gridSpan w:val="3"/>
          </w:tcPr>
          <w:p>
            <w:pPr>
              <w:jc w:val="right"/>
              <w:ind w:right="349"/>
              <w:spacing w:after="0" w:line="129" w:lineRule="exact"/>
              <w:rPr>
                <w:sz w:val="20"/>
                <w:szCs w:val="20"/>
                <w:color w:val="auto"/>
              </w:rPr>
            </w:pPr>
            <w:r>
              <w:rPr>
                <w:rFonts w:ascii="Times New Roman" w:cs="Times New Roman" w:eastAsia="Times New Roman" w:hAnsi="Times New Roman"/>
                <w:sz w:val="14"/>
                <w:szCs w:val="14"/>
                <w:color w:val="auto"/>
              </w:rPr>
              <w:t>% of Total Class</w:t>
            </w:r>
          </w:p>
        </w:tc>
        <w:tc>
          <w:tcPr>
            <w:tcW w:w="90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11,256</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tcPr>
          <w:p>
            <w:pPr>
              <w:spacing w:after="0"/>
              <w:rPr>
                <w:sz w:val="15"/>
                <w:szCs w:val="15"/>
                <w:color w:val="auto"/>
              </w:rPr>
            </w:pPr>
          </w:p>
        </w:tc>
        <w:tc>
          <w:tcPr>
            <w:tcW w:w="150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center"/>
              <w:ind w:right="289"/>
              <w:spacing w:after="0"/>
              <w:rPr>
                <w:sz w:val="20"/>
                <w:szCs w:val="20"/>
                <w:color w:val="auto"/>
              </w:rPr>
            </w:pPr>
            <w:r>
              <w:rPr>
                <w:rFonts w:ascii="Times New Roman" w:cs="Times New Roman" w:eastAsia="Times New Roman" w:hAnsi="Times New Roman"/>
                <w:sz w:val="14"/>
                <w:szCs w:val="14"/>
                <w:color w:val="auto"/>
              </w:rPr>
              <w:t>At or for the Six Months ended June 30, 2024</w:t>
            </w:r>
          </w:p>
        </w:tc>
        <w:tc>
          <w:tcPr>
            <w:tcW w:w="90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5"/>
          </w:tcPr>
          <w:p>
            <w:pPr>
              <w:jc w:val="center"/>
              <w:ind w:right="389"/>
              <w:spacing w:after="0" w:line="135" w:lineRule="exact"/>
              <w:rPr>
                <w:sz w:val="20"/>
                <w:szCs w:val="20"/>
                <w:color w:val="auto"/>
              </w:rPr>
            </w:pPr>
            <w:r>
              <w:rPr>
                <w:rFonts w:ascii="Times New Roman" w:cs="Times New Roman" w:eastAsia="Times New Roman" w:hAnsi="Times New Roman"/>
                <w:sz w:val="14"/>
                <w:szCs w:val="14"/>
                <w:color w:val="auto"/>
              </w:rPr>
              <w:t>Combination - Term Extension and</w:t>
            </w:r>
          </w:p>
        </w:tc>
        <w:tc>
          <w:tcPr>
            <w:tcW w:w="900" w:type="dxa"/>
            <w:vAlign w:val="bottom"/>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Term Extension and Payment Deferral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jc w:val="center"/>
              <w:ind w:right="409"/>
              <w:spacing w:after="0"/>
              <w:rPr>
                <w:sz w:val="20"/>
                <w:szCs w:val="20"/>
                <w:color w:val="auto"/>
              </w:rPr>
            </w:pPr>
            <w:r>
              <w:rPr>
                <w:rFonts w:ascii="Times New Roman" w:cs="Times New Roman" w:eastAsia="Times New Roman" w:hAnsi="Times New Roman"/>
                <w:sz w:val="14"/>
                <w:szCs w:val="14"/>
                <w:color w:val="auto"/>
              </w:rPr>
              <w:t>Interest Rate Reduction</w:t>
            </w:r>
          </w:p>
        </w:tc>
        <w:tc>
          <w:tcPr>
            <w:tcW w:w="9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9"/>
              <w:spacing w:after="0" w:line="135" w:lineRule="exact"/>
              <w:rPr>
                <w:sz w:val="20"/>
                <w:szCs w:val="20"/>
                <w:color w:val="auto"/>
              </w:rPr>
            </w:pPr>
            <w:r>
              <w:rPr>
                <w:rFonts w:ascii="Times New Roman" w:cs="Times New Roman" w:eastAsia="Times New Roman" w:hAnsi="Times New Roman"/>
                <w:sz w:val="14"/>
                <w:szCs w:val="14"/>
                <w:color w:val="auto"/>
              </w:rPr>
              <w:t>Amortized Cost</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9"/>
              <w:spacing w:after="0" w:line="135" w:lineRule="exact"/>
              <w:rPr>
                <w:sz w:val="20"/>
                <w:szCs w:val="20"/>
                <w:color w:val="auto"/>
              </w:rPr>
            </w:pPr>
            <w:r>
              <w:rPr>
                <w:rFonts w:ascii="Times New Roman" w:cs="Times New Roman" w:eastAsia="Times New Roman" w:hAnsi="Times New Roman"/>
                <w:sz w:val="14"/>
                <w:szCs w:val="14"/>
                <w:color w:val="auto"/>
              </w:rPr>
              <w:t>Amortized Cost</w:t>
            </w:r>
          </w:p>
        </w:tc>
        <w:tc>
          <w:tcPr>
            <w:tcW w:w="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52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Basis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 of Total Class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Basis</w:t>
            </w:r>
          </w:p>
        </w:tc>
        <w:tc>
          <w:tcPr>
            <w:tcW w:w="20" w:type="dxa"/>
            <w:vAlign w:val="bottom"/>
          </w:tcPr>
          <w:p>
            <w:pPr>
              <w:spacing w:after="0"/>
              <w:rPr>
                <w:sz w:val="12"/>
                <w:szCs w:val="12"/>
                <w:color w:val="auto"/>
              </w:rPr>
            </w:pPr>
          </w:p>
        </w:tc>
        <w:tc>
          <w:tcPr>
            <w:tcW w:w="1500" w:type="dxa"/>
            <w:vAlign w:val="bottom"/>
            <w:gridSpan w:val="3"/>
          </w:tcPr>
          <w:p>
            <w:pPr>
              <w:jc w:val="right"/>
              <w:ind w:right="349"/>
              <w:spacing w:after="0" w:line="122" w:lineRule="exact"/>
              <w:rPr>
                <w:sz w:val="20"/>
                <w:szCs w:val="20"/>
                <w:color w:val="auto"/>
              </w:rPr>
            </w:pPr>
            <w:r>
              <w:rPr>
                <w:rFonts w:ascii="Times New Roman" w:cs="Times New Roman" w:eastAsia="Times New Roman" w:hAnsi="Times New Roman"/>
                <w:sz w:val="14"/>
                <w:szCs w:val="14"/>
                <w:color w:val="auto"/>
              </w:rPr>
              <w:t>% of Total Class</w:t>
            </w:r>
          </w:p>
        </w:tc>
        <w:tc>
          <w:tcPr>
            <w:tcW w:w="900" w:type="dxa"/>
            <w:vAlign w:val="bottom"/>
          </w:tcPr>
          <w:p>
            <w:pPr>
              <w:jc w:val="right"/>
              <w:ind w:right="369"/>
              <w:spacing w:after="0" w:line="122" w:lineRule="exact"/>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39,743</w:t>
            </w:r>
          </w:p>
        </w:tc>
      </w:tr>
      <w:tr>
        <w:trPr>
          <w:trHeight w:val="180"/>
        </w:trPr>
        <w:tc>
          <w:tcPr>
            <w:tcW w:w="20" w:type="dxa"/>
            <w:vAlign w:val="bottom"/>
            <w:shd w:val="clear" w:color="auto" w:fill="CCEEFF"/>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10,114</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2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10,555</w:t>
            </w:r>
          </w:p>
        </w:tc>
      </w:tr>
      <w:tr>
        <w:trPr>
          <w:trHeight w:val="171"/>
        </w:trPr>
        <w:tc>
          <w:tcPr>
            <w:tcW w:w="20" w:type="dxa"/>
            <w:vAlign w:val="bottom"/>
          </w:tcPr>
          <w:p>
            <w:pPr>
              <w:spacing w:after="0"/>
              <w:rPr>
                <w:sz w:val="14"/>
                <w:szCs w:val="14"/>
                <w:color w:val="auto"/>
              </w:rPr>
            </w:pP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19,555</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30,947</w:t>
            </w:r>
          </w:p>
        </w:tc>
        <w:tc>
          <w:tcPr>
            <w:tcW w:w="20" w:type="dxa"/>
            <w:vAlign w:val="bottom"/>
            <w:tcBorders>
              <w:top w:val="single" w:sz="8" w:color="auto"/>
              <w:bottom w:val="single" w:sz="8" w:color="auto"/>
            </w:tcBorders>
          </w:tcPr>
          <w:p>
            <w:pPr>
              <w:spacing w:after="0"/>
              <w:rPr>
                <w:sz w:val="14"/>
                <w:szCs w:val="14"/>
                <w:color w:val="auto"/>
              </w:rPr>
            </w:pPr>
          </w:p>
        </w:tc>
        <w:tc>
          <w:tcPr>
            <w:tcW w:w="1220" w:type="dxa"/>
            <w:vAlign w:val="bottom"/>
            <w:gridSpan w:val="2"/>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50,502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describe the financial effect of the MBFD loans by segment:</w:t>
            </w: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2"/>
        </w:trPr>
        <w:tc>
          <w:tcPr>
            <w:tcW w:w="5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color w:val="auto"/>
              </w:rPr>
              <w:t>At or for the Three Months ended June 30, 2025</w:t>
            </w:r>
          </w:p>
        </w:tc>
      </w:tr>
      <w:tr>
        <w:trPr>
          <w:trHeight w:val="129"/>
        </w:trPr>
        <w:tc>
          <w:tcPr>
            <w:tcW w:w="5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Rate</w:t>
            </w:r>
          </w:p>
        </w:tc>
        <w:tc>
          <w:tcPr>
            <w:tcW w:w="2360" w:type="dxa"/>
            <w:vAlign w:val="bottom"/>
          </w:tcPr>
          <w:p>
            <w:pPr>
              <w:spacing w:after="0"/>
              <w:rPr>
                <w:sz w:val="11"/>
                <w:szCs w:val="11"/>
                <w:color w:val="auto"/>
              </w:rPr>
            </w:pPr>
          </w:p>
        </w:tc>
      </w:tr>
      <w:tr>
        <w:trPr>
          <w:trHeight w:val="191"/>
        </w:trPr>
        <w:tc>
          <w:tcPr>
            <w:tcW w:w="5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Reduction</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Weighted Average Term Extension</w:t>
            </w:r>
          </w:p>
        </w:tc>
      </w:tr>
      <w:tr>
        <w:trPr>
          <w:trHeight w:val="171"/>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commercial</w:t>
            </w:r>
          </w:p>
        </w:tc>
        <w:tc>
          <w:tcPr>
            <w:tcW w:w="13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 months</w:t>
            </w:r>
          </w:p>
        </w:tc>
      </w:tr>
      <w:tr>
        <w:trPr>
          <w:trHeight w:val="184"/>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equity</w:t>
            </w:r>
          </w:p>
        </w:tc>
        <w:tc>
          <w:tcPr>
            <w:tcW w:w="1380" w:type="dxa"/>
            <w:vAlign w:val="bottom"/>
          </w:tcPr>
          <w:p>
            <w:pPr>
              <w:spacing w:after="0"/>
              <w:rPr>
                <w:sz w:val="16"/>
                <w:szCs w:val="16"/>
                <w:color w:val="auto"/>
              </w:rPr>
            </w:pPr>
          </w:p>
        </w:tc>
        <w:tc>
          <w:tcPr>
            <w:tcW w:w="2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months</w:t>
            </w:r>
          </w:p>
        </w:tc>
      </w:tr>
      <w:tr>
        <w:trPr>
          <w:trHeight w:val="770"/>
        </w:trPr>
        <w:tc>
          <w:tcPr>
            <w:tcW w:w="5100" w:type="dxa"/>
            <w:vAlign w:val="bottom"/>
          </w:tcPr>
          <w:p>
            <w:pPr>
              <w:spacing w:after="0"/>
              <w:rPr>
                <w:sz w:val="24"/>
                <w:szCs w:val="24"/>
                <w:color w:val="auto"/>
              </w:rPr>
            </w:pPr>
          </w:p>
        </w:tc>
        <w:tc>
          <w:tcPr>
            <w:tcW w:w="138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29</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At or for the Three Months ended June 30, 2024</w:t>
            </w:r>
          </w:p>
        </w:tc>
      </w:tr>
      <w:tr>
        <w:trPr>
          <w:trHeight w:val="129"/>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Rate</w:t>
            </w:r>
          </w:p>
        </w:tc>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91"/>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Reduction</w:t>
            </w:r>
          </w:p>
        </w:tc>
        <w:tc>
          <w:tcPr>
            <w:tcW w:w="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Weighted Average Term Extension</w:t>
            </w:r>
          </w:p>
        </w:tc>
      </w:tr>
      <w:tr>
        <w:trPr>
          <w:trHeight w:val="171"/>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tcBorders>
              <w:top w:val="single" w:sz="8" w:color="auto"/>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 months</w:t>
            </w:r>
          </w:p>
        </w:tc>
      </w:tr>
      <w:tr>
        <w:trPr>
          <w:trHeight w:val="18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commercial</w:t>
            </w:r>
          </w:p>
        </w:tc>
        <w:tc>
          <w:tcPr>
            <w:tcW w:w="20" w:type="dxa"/>
            <w:vAlign w:val="bottom"/>
          </w:tcPr>
          <w:p>
            <w:pPr>
              <w:spacing w:after="0"/>
              <w:rPr>
                <w:sz w:val="16"/>
                <w:szCs w:val="16"/>
                <w:color w:val="auto"/>
              </w:rPr>
            </w:pPr>
          </w:p>
        </w:tc>
        <w:tc>
          <w:tcPr>
            <w:tcW w:w="2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months</w:t>
            </w:r>
          </w:p>
        </w:tc>
      </w:tr>
      <w:tr>
        <w:trPr>
          <w:trHeight w:val="272"/>
        </w:trPr>
        <w:tc>
          <w:tcPr>
            <w:tcW w:w="6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At or for the Six Months ended June 30, 2025</w:t>
            </w:r>
          </w:p>
        </w:tc>
      </w:tr>
      <w:tr>
        <w:trPr>
          <w:trHeight w:val="129"/>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Rate</w:t>
            </w:r>
          </w:p>
        </w:tc>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91"/>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Reduction</w:t>
            </w:r>
          </w:p>
        </w:tc>
        <w:tc>
          <w:tcPr>
            <w:tcW w:w="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Weighted Average Term Extension</w:t>
            </w:r>
          </w:p>
        </w:tc>
      </w:tr>
      <w:tr>
        <w:trPr>
          <w:trHeight w:val="171"/>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4.74%</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 months</w:t>
            </w:r>
          </w:p>
        </w:tc>
      </w:tr>
      <w:tr>
        <w:trPr>
          <w:trHeight w:val="18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commercial</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 years</w:t>
            </w:r>
          </w:p>
        </w:tc>
      </w:tr>
      <w:tr>
        <w:trPr>
          <w:trHeight w:val="452"/>
        </w:trPr>
        <w:tc>
          <w:tcPr>
            <w:tcW w:w="6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At or for the Six Months ended June 30, 2024</w:t>
            </w:r>
          </w:p>
        </w:tc>
      </w:tr>
      <w:tr>
        <w:trPr>
          <w:trHeight w:val="135"/>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Weighted Average Interest Rate</w:t>
            </w:r>
          </w:p>
        </w:tc>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84"/>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Reduction</w:t>
            </w:r>
          </w:p>
        </w:tc>
        <w:tc>
          <w:tcPr>
            <w:tcW w:w="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Weighted Average Term Extension</w:t>
            </w:r>
          </w:p>
        </w:tc>
      </w:tr>
      <w:tr>
        <w:trPr>
          <w:trHeight w:val="171"/>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20" w:type="dxa"/>
            <w:vAlign w:val="bottom"/>
            <w:tcBorders>
              <w:top w:val="single" w:sz="8" w:color="auto"/>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 months</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 months</w:t>
            </w:r>
          </w:p>
        </w:tc>
      </w:tr>
      <w:tr>
        <w:trPr>
          <w:trHeight w:val="18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commercial</w:t>
            </w:r>
          </w:p>
        </w:tc>
        <w:tc>
          <w:tcPr>
            <w:tcW w:w="20" w:type="dxa"/>
            <w:vAlign w:val="bottom"/>
            <w:shd w:val="clear" w:color="auto" w:fill="CCEEFF"/>
          </w:tcPr>
          <w:p>
            <w:pPr>
              <w:spacing w:after="0"/>
              <w:rPr>
                <w:sz w:val="15"/>
                <w:szCs w:val="15"/>
                <w:color w:val="auto"/>
              </w:rPr>
            </w:pPr>
          </w:p>
        </w:tc>
        <w:tc>
          <w:tcPr>
            <w:tcW w:w="2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 months</w:t>
            </w:r>
          </w:p>
        </w:tc>
      </w:tr>
    </w:tbl>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Loans that were modified within the preceding twelve months that had a payment default during the periods ended June 30, 2025 had an ending balances of $136,000, and $1,082,000, and were included in other commercial loans, and commercial real estate loans, respectively. During the period ending June 30, 2024, there were no loans with that were modified during preceeding the twelve months that had a payment default. There were $1,350,000 and $462,000 of additional unfunded commitments on MBFDs outstanding at June 30, 2025 and December 31, 2024, respectively. At June 30, 2025 and December 31, 2024, the Company had $1,220,000 and $207,000, respectively, of consumer mortgage loans secured by residential real estate properties for which formal foreclosure proceedings are in process. At both June 30, 2025 and December 31, 2024, the Company had no OREO secured by residential real estate properties.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depict the performance of loans that have been modified in the last twelve months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June 30, 2025</w:t>
            </w:r>
          </w:p>
        </w:tc>
        <w:tc>
          <w:tcPr>
            <w:tcW w:w="1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27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380" w:type="dxa"/>
            <w:vAlign w:val="bottom"/>
          </w:tcPr>
          <w:p>
            <w:pPr>
              <w:spacing w:after="0"/>
              <w:rPr>
                <w:sz w:val="11"/>
                <w:szCs w:val="11"/>
                <w:color w:val="auto"/>
              </w:rPr>
            </w:pPr>
          </w:p>
        </w:tc>
        <w:tc>
          <w:tcPr>
            <w:tcW w:w="134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color w:val="auto"/>
              </w:rPr>
              <w:t>Total</w:t>
            </w:r>
          </w:p>
        </w:tc>
        <w:tc>
          <w:tcPr>
            <w:tcW w:w="1720" w:type="dxa"/>
            <w:vAlign w:val="bottom"/>
            <w:gridSpan w:val="2"/>
          </w:tcPr>
          <w:p>
            <w:pPr>
              <w:ind w:left="600"/>
              <w:spacing w:after="0" w:line="118" w:lineRule="exact"/>
              <w:rPr>
                <w:sz w:val="20"/>
                <w:szCs w:val="20"/>
                <w:color w:val="auto"/>
              </w:rPr>
            </w:pPr>
            <w:r>
              <w:rPr>
                <w:rFonts w:ascii="Times New Roman" w:cs="Times New Roman" w:eastAsia="Times New Roman" w:hAnsi="Times New Roman"/>
                <w:sz w:val="13"/>
                <w:szCs w:val="13"/>
                <w:color w:val="auto"/>
              </w:rPr>
              <w:t>Current</w:t>
            </w:r>
          </w:p>
        </w:tc>
        <w:tc>
          <w:tcPr>
            <w:tcW w:w="17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30-89 Days Past Due</w:t>
            </w:r>
          </w:p>
        </w:tc>
        <w:tc>
          <w:tcPr>
            <w:tcW w:w="17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90 Days or More Past Due</w:t>
            </w:r>
          </w:p>
        </w:tc>
        <w:tc>
          <w:tcPr>
            <w:tcW w:w="1640" w:type="dxa"/>
            <w:vAlign w:val="bottom"/>
          </w:tcPr>
          <w:p>
            <w:pPr>
              <w:jc w:val="right"/>
              <w:ind w:right="370"/>
              <w:spacing w:after="0" w:line="118" w:lineRule="exact"/>
              <w:rPr>
                <w:sz w:val="20"/>
                <w:szCs w:val="20"/>
                <w:color w:val="auto"/>
              </w:rPr>
            </w:pPr>
            <w:r>
              <w:rPr>
                <w:rFonts w:ascii="Times New Roman" w:cs="Times New Roman" w:eastAsia="Times New Roman" w:hAnsi="Times New Roman"/>
                <w:sz w:val="13"/>
                <w:szCs w:val="13"/>
                <w:color w:val="auto"/>
              </w:rPr>
              <w:t>Non-Accrual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11,256</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8,747</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r>
      <w:tr>
        <w:trPr>
          <w:trHeight w:val="180"/>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tcPr>
          <w:p>
            <w:pPr>
              <w:spacing w:after="0"/>
              <w:rPr>
                <w:sz w:val="15"/>
                <w:szCs w:val="15"/>
                <w:color w:val="auto"/>
              </w:rPr>
            </w:pPr>
          </w:p>
        </w:tc>
        <w:tc>
          <w:tcPr>
            <w:tcW w:w="17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June 30, 2024</w:t>
            </w:r>
          </w:p>
        </w:tc>
        <w:tc>
          <w:tcPr>
            <w:tcW w:w="1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29"/>
        </w:trPr>
        <w:tc>
          <w:tcPr>
            <w:tcW w:w="20" w:type="dxa"/>
            <w:vAlign w:val="bottom"/>
          </w:tcPr>
          <w:p>
            <w:pPr>
              <w:spacing w:after="0"/>
              <w:rPr>
                <w:sz w:val="11"/>
                <w:szCs w:val="11"/>
                <w:color w:val="auto"/>
              </w:rPr>
            </w:pPr>
          </w:p>
        </w:tc>
        <w:tc>
          <w:tcPr>
            <w:tcW w:w="27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380" w:type="dxa"/>
            <w:vAlign w:val="bottom"/>
          </w:tcPr>
          <w:p>
            <w:pPr>
              <w:spacing w:after="0"/>
              <w:rPr>
                <w:sz w:val="11"/>
                <w:szCs w:val="11"/>
                <w:color w:val="auto"/>
              </w:rPr>
            </w:pPr>
          </w:p>
        </w:tc>
        <w:tc>
          <w:tcPr>
            <w:tcW w:w="134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color w:val="auto"/>
              </w:rPr>
              <w:t>Total</w:t>
            </w:r>
          </w:p>
        </w:tc>
        <w:tc>
          <w:tcPr>
            <w:tcW w:w="1720" w:type="dxa"/>
            <w:vAlign w:val="bottom"/>
            <w:gridSpan w:val="2"/>
          </w:tcPr>
          <w:p>
            <w:pPr>
              <w:ind w:left="600"/>
              <w:spacing w:after="0" w:line="118" w:lineRule="exact"/>
              <w:rPr>
                <w:sz w:val="20"/>
                <w:szCs w:val="20"/>
                <w:color w:val="auto"/>
              </w:rPr>
            </w:pPr>
            <w:r>
              <w:rPr>
                <w:rFonts w:ascii="Times New Roman" w:cs="Times New Roman" w:eastAsia="Times New Roman" w:hAnsi="Times New Roman"/>
                <w:sz w:val="13"/>
                <w:szCs w:val="13"/>
                <w:color w:val="auto"/>
              </w:rPr>
              <w:t>Current</w:t>
            </w:r>
          </w:p>
        </w:tc>
        <w:tc>
          <w:tcPr>
            <w:tcW w:w="17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30-89 Days Past Due</w:t>
            </w:r>
          </w:p>
        </w:tc>
        <w:tc>
          <w:tcPr>
            <w:tcW w:w="17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90 Days or More Past Due</w:t>
            </w:r>
          </w:p>
        </w:tc>
        <w:tc>
          <w:tcPr>
            <w:tcW w:w="1640" w:type="dxa"/>
            <w:vAlign w:val="bottom"/>
          </w:tcPr>
          <w:p>
            <w:pPr>
              <w:jc w:val="right"/>
              <w:ind w:right="370"/>
              <w:spacing w:after="0" w:line="118" w:lineRule="exact"/>
              <w:rPr>
                <w:sz w:val="20"/>
                <w:szCs w:val="20"/>
                <w:color w:val="auto"/>
              </w:rPr>
            </w:pPr>
            <w:r>
              <w:rPr>
                <w:rFonts w:ascii="Times New Roman" w:cs="Times New Roman" w:eastAsia="Times New Roman" w:hAnsi="Times New Roman"/>
                <w:sz w:val="13"/>
                <w:szCs w:val="13"/>
                <w:color w:val="auto"/>
              </w:rPr>
              <w:t>Non-Accrual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39,743</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39,359</w:t>
            </w:r>
          </w:p>
        </w:tc>
        <w:tc>
          <w:tcPr>
            <w:tcW w:w="100" w:type="dxa"/>
            <w:vAlign w:val="bottom"/>
          </w:tcPr>
          <w:p>
            <w:pPr>
              <w:spacing w:after="0"/>
              <w:rPr>
                <w:sz w:val="15"/>
                <w:szCs w:val="15"/>
                <w:color w:val="auto"/>
              </w:rPr>
            </w:pPr>
          </w:p>
        </w:tc>
        <w:tc>
          <w:tcPr>
            <w:tcW w:w="170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180"/>
        </w:trPr>
        <w:tc>
          <w:tcPr>
            <w:tcW w:w="2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10,555</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10,015</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171"/>
        </w:trPr>
        <w:tc>
          <w:tcPr>
            <w:tcW w:w="20" w:type="dxa"/>
            <w:vAlign w:val="bottom"/>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50,502</w:t>
            </w:r>
          </w:p>
        </w:tc>
        <w:tc>
          <w:tcPr>
            <w:tcW w:w="10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49,578</w:t>
            </w:r>
          </w:p>
        </w:tc>
        <w:tc>
          <w:tcPr>
            <w:tcW w:w="100" w:type="dxa"/>
            <w:vAlign w:val="bottom"/>
          </w:tcPr>
          <w:p>
            <w:pPr>
              <w:spacing w:after="0"/>
              <w:rPr>
                <w:sz w:val="14"/>
                <w:szCs w:val="14"/>
                <w:color w:val="auto"/>
              </w:rPr>
            </w:pPr>
          </w:p>
        </w:tc>
        <w:tc>
          <w:tcPr>
            <w:tcW w:w="162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Credit Quality Indicators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categorizes commercial real estate and other commercial loans into risk categories based on relevant information about the ability of borrowers to service their obligations. The following tables present the amortized cost in commercial real estate and other commercial loans based on the Company’s internal risk rating. The date of a modification, renewal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0" w:name="page31"/>
    <w:bookmarkEnd w:id="30"/>
    <w:p>
      <w:pPr>
        <w:ind w:left="6720" w:right="120" w:hanging="6713"/>
        <w:spacing w:after="0" w:line="302" w:lineRule="auto"/>
        <w:rPr>
          <w:sz w:val="20"/>
          <w:szCs w:val="20"/>
          <w:color w:val="auto"/>
        </w:rPr>
      </w:pPr>
      <w:r>
        <w:rPr>
          <w:rFonts w:ascii="Times New Roman" w:cs="Times New Roman" w:eastAsia="Times New Roman" w:hAnsi="Times New Roman"/>
          <w:sz w:val="14"/>
          <w:szCs w:val="14"/>
          <w:color w:val="auto"/>
        </w:rPr>
        <w:t>extension of a loan is considered for the year of origination if the terms of the loan are as favorable to the Company as the terms are for a comparable loan to other borrowers with similar credit risk. June 30, 2025</w:t>
      </w: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jc w:val="right"/>
              <w:ind w:right="310"/>
              <w:spacing w:after="0" w:line="110" w:lineRule="exact"/>
              <w:rPr>
                <w:sz w:val="20"/>
                <w:szCs w:val="20"/>
                <w:color w:val="auto"/>
              </w:rPr>
            </w:pPr>
            <w:r>
              <w:rPr>
                <w:rFonts w:ascii="Times New Roman" w:cs="Times New Roman" w:eastAsia="Times New Roman" w:hAnsi="Times New Roman"/>
                <w:sz w:val="12"/>
                <w:szCs w:val="12"/>
                <w:color w:val="auto"/>
              </w:rPr>
              <w:t>Doubtful/</w:t>
            </w: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2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Gross Charge-Offs</w:t>
            </w:r>
          </w:p>
        </w:tc>
        <w:tc>
          <w:tcPr>
            <w:tcW w:w="1420" w:type="dxa"/>
            <w:vAlign w:val="bottom"/>
            <w:gridSpan w:val="2"/>
          </w:tcPr>
          <w:p>
            <w:pPr>
              <w:jc w:val="right"/>
              <w:ind w:right="62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40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color w:val="auto"/>
              </w:rPr>
              <w:t>Pass</w:t>
            </w:r>
          </w:p>
        </w:tc>
        <w:tc>
          <w:tcPr>
            <w:tcW w:w="142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Special Mention</w:t>
            </w:r>
          </w:p>
        </w:tc>
        <w:tc>
          <w:tcPr>
            <w:tcW w:w="140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Substandard</w:t>
            </w:r>
          </w:p>
        </w:tc>
        <w:tc>
          <w:tcPr>
            <w:tcW w:w="1320" w:type="dxa"/>
            <w:vAlign w:val="bottom"/>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 loans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2025 (year-to-date)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815,265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813,483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1,521,568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1,483,646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1,361,814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1,341,864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2,317,259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2,276,223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1,991,372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1,928,200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3,441,039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3,349,800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44,342</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486,792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480,293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2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11,935,109</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11,673,509</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119,286</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142,314</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commercial loans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2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2025 (year-to-date)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207,922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206,074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351,541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349,034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299,180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292,491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495,610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484,447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443,849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435,498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0" w:type="dxa"/>
            <w:vAlign w:val="bottom"/>
          </w:tcPr>
          <w:p>
            <w:pPr>
              <w:spacing w:after="0"/>
              <w:rPr>
                <w:sz w:val="15"/>
                <w:szCs w:val="15"/>
                <w:color w:val="auto"/>
              </w:rPr>
            </w:pPr>
          </w:p>
        </w:tc>
        <w:tc>
          <w:tcPr>
            <w:tcW w:w="2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640,665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606,904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865,122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839,813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20" w:type="dxa"/>
            <w:vAlign w:val="bottom"/>
          </w:tcPr>
          <w:p>
            <w:pPr>
              <w:spacing w:after="0"/>
              <w:rPr>
                <w:sz w:val="14"/>
                <w:szCs w:val="14"/>
                <w:color w:val="auto"/>
              </w:rPr>
            </w:pPr>
          </w:p>
        </w:tc>
        <w:tc>
          <w:tcPr>
            <w:tcW w:w="2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3,303,889</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3,214,261</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21,524</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67,177</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color w:val="auto"/>
              </w:rPr>
              <w:t>December 31, 2024</w:t>
            </w: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4"/>
                <w:szCs w:val="14"/>
                <w:color w:val="auto"/>
              </w:rPr>
              <w:t>Doubtful/</w:t>
            </w: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3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Gross Charge-Offs</w:t>
            </w:r>
          </w:p>
        </w:tc>
        <w:tc>
          <w:tcPr>
            <w:tcW w:w="300" w:type="dxa"/>
            <w:vAlign w:val="bottom"/>
          </w:tcPr>
          <w:p>
            <w:pPr>
              <w:spacing w:after="0"/>
              <w:rPr>
                <w:sz w:val="12"/>
                <w:szCs w:val="12"/>
                <w:color w:val="auto"/>
              </w:rPr>
            </w:pPr>
          </w:p>
        </w:tc>
        <w:tc>
          <w:tcPr>
            <w:tcW w:w="110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40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color w:val="auto"/>
              </w:rPr>
              <w:t>Pass</w:t>
            </w:r>
          </w:p>
        </w:tc>
        <w:tc>
          <w:tcPr>
            <w:tcW w:w="138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Special Mention</w:t>
            </w:r>
          </w:p>
        </w:tc>
        <w:tc>
          <w:tcPr>
            <w:tcW w:w="140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Substandard</w:t>
            </w:r>
          </w:p>
        </w:tc>
        <w:tc>
          <w:tcPr>
            <w:tcW w:w="132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 loans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1,321,385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1,287,352</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1,334,689</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1,311,808</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2,367,874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2,307,217</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2,043,830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1,988,629</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24,236</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1,043,858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1,036,774</w:t>
            </w:r>
          </w:p>
        </w:tc>
        <w:tc>
          <w:tcPr>
            <w:tcW w:w="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2,515,573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2,446,084</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336,504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331,130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2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10,708,994</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108,573</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146,146</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commercial loans</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407,909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402,180</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315,890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312,154</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496,999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492,111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462,173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452,731</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203,771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199,643</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29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495,291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468,850</w:t>
            </w:r>
          </w:p>
        </w:tc>
        <w:tc>
          <w:tcPr>
            <w:tcW w:w="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737,502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706,991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20" w:type="dxa"/>
            <w:vAlign w:val="bottom"/>
          </w:tcPr>
          <w:p>
            <w:pPr>
              <w:spacing w:after="0"/>
              <w:rPr>
                <w:sz w:val="14"/>
                <w:szCs w:val="14"/>
                <w:color w:val="auto"/>
              </w:rPr>
            </w:pPr>
          </w:p>
        </w:tc>
        <w:tc>
          <w:tcPr>
            <w:tcW w:w="2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3,034,660</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23,082</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61,357</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2" w:name="page33"/>
    <w:bookmarkEnd w:id="32"/>
    <w:p>
      <w:pPr>
        <w:spacing w:after="0" w:line="276" w:lineRule="auto"/>
        <w:rPr>
          <w:sz w:val="20"/>
          <w:szCs w:val="20"/>
          <w:color w:val="auto"/>
        </w:rPr>
      </w:pPr>
      <w:r>
        <w:rPr>
          <w:rFonts w:ascii="Times New Roman" w:cs="Times New Roman" w:eastAsia="Times New Roman" w:hAnsi="Times New Roman"/>
          <w:sz w:val="14"/>
          <w:szCs w:val="14"/>
          <w:color w:val="auto"/>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Non-Accrual and 90</w:t>
            </w: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Days or More Past</w:t>
            </w:r>
          </w:p>
        </w:tc>
      </w:tr>
      <w:tr>
        <w:trPr>
          <w:trHeight w:val="142"/>
        </w:trPr>
        <w:tc>
          <w:tcPr>
            <w:tcW w:w="20" w:type="dxa"/>
            <w:vAlign w:val="bottom"/>
          </w:tcPr>
          <w:p>
            <w:pPr>
              <w:spacing w:after="0"/>
              <w:rPr>
                <w:sz w:val="12"/>
                <w:szCs w:val="12"/>
                <w:color w:val="auto"/>
              </w:rPr>
            </w:pPr>
          </w:p>
        </w:tc>
        <w:tc>
          <w:tcPr>
            <w:tcW w:w="39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Gross Charge-Offs</w:t>
            </w:r>
          </w:p>
        </w:tc>
        <w:tc>
          <w:tcPr>
            <w:tcW w:w="1400" w:type="dxa"/>
            <w:vAlign w:val="bottom"/>
            <w:gridSpan w:val="2"/>
          </w:tcPr>
          <w:p>
            <w:pPr>
              <w:ind w:left="500"/>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14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rPr>
              <w:t>Performing</w:t>
            </w:r>
          </w:p>
        </w:tc>
        <w:tc>
          <w:tcPr>
            <w:tcW w:w="14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30-89 Days Past Due</w:t>
            </w:r>
          </w:p>
        </w:tc>
        <w:tc>
          <w:tcPr>
            <w:tcW w:w="13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Due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2025 (year-to-date)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61,484</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250,047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249,350</w:t>
            </w:r>
          </w:p>
        </w:tc>
        <w:tc>
          <w:tcPr>
            <w:tcW w:w="1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283,794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283,097</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647,683</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644,697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432,732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430,285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252,591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239,386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5,233</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1,931,554</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1,911,137</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10,948</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9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Home equity loans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2025 (year-to-date)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963,714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954,851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r>
      <w:tr>
        <w:trPr>
          <w:trHeight w:val="171"/>
        </w:trPr>
        <w:tc>
          <w:tcPr>
            <w:tcW w:w="20" w:type="dxa"/>
            <w:vAlign w:val="bottom"/>
          </w:tcPr>
          <w:p>
            <w:pPr>
              <w:spacing w:after="0"/>
              <w:rPr>
                <w:sz w:val="14"/>
                <w:szCs w:val="14"/>
                <w:color w:val="auto"/>
              </w:rPr>
            </w:pPr>
          </w:p>
        </w:tc>
        <w:tc>
          <w:tcPr>
            <w:tcW w:w="3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975,429</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966,395</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9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consumer loans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2025 (year-to-date)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91,441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90,784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49,855</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33,944</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71"/>
        </w:trPr>
        <w:tc>
          <w:tcPr>
            <w:tcW w:w="20" w:type="dxa"/>
            <w:vAlign w:val="bottom"/>
          </w:tcPr>
          <w:p>
            <w:pPr>
              <w:spacing w:after="0"/>
              <w:rPr>
                <w:sz w:val="14"/>
                <w:szCs w:val="14"/>
                <w:color w:val="auto"/>
              </w:rPr>
            </w:pPr>
          </w:p>
        </w:tc>
        <w:tc>
          <w:tcPr>
            <w:tcW w:w="39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386,759</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382,055</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Non-Accrual and 90</w:t>
            </w: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Days or More Past</w:t>
            </w:r>
          </w:p>
        </w:tc>
      </w:tr>
      <w:tr>
        <w:trPr>
          <w:trHeight w:val="142"/>
        </w:trPr>
        <w:tc>
          <w:tcPr>
            <w:tcW w:w="20" w:type="dxa"/>
            <w:vAlign w:val="bottom"/>
          </w:tcPr>
          <w:p>
            <w:pPr>
              <w:spacing w:after="0"/>
              <w:rPr>
                <w:sz w:val="12"/>
                <w:szCs w:val="12"/>
                <w:color w:val="auto"/>
              </w:rPr>
            </w:pPr>
          </w:p>
        </w:tc>
        <w:tc>
          <w:tcPr>
            <w:tcW w:w="43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Gross Charge-Offs</w:t>
            </w:r>
          </w:p>
        </w:tc>
        <w:tc>
          <w:tcPr>
            <w:tcW w:w="300" w:type="dxa"/>
            <w:vAlign w:val="bottom"/>
          </w:tcPr>
          <w:p>
            <w:pPr>
              <w:spacing w:after="0"/>
              <w:rPr>
                <w:sz w:val="12"/>
                <w:szCs w:val="12"/>
                <w:color w:val="auto"/>
              </w:rPr>
            </w:pPr>
          </w:p>
        </w:tc>
        <w:tc>
          <w:tcPr>
            <w:tcW w:w="11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14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rPr>
              <w:t>Performing</w:t>
            </w:r>
          </w:p>
        </w:tc>
        <w:tc>
          <w:tcPr>
            <w:tcW w:w="14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30-89 Days Past Due</w:t>
            </w:r>
          </w:p>
        </w:tc>
        <w:tc>
          <w:tcPr>
            <w:tcW w:w="13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Due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211,519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210,806</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267,000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264,817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655,918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652,993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455,196</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452,628</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90,649</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20" w:type="dxa"/>
            <w:vAlign w:val="bottom"/>
          </w:tcPr>
          <w:p>
            <w:pPr>
              <w:spacing w:after="0"/>
              <w:rPr>
                <w:sz w:val="15"/>
                <w:szCs w:val="15"/>
                <w:color w:val="auto"/>
              </w:rPr>
            </w:pPr>
          </w:p>
        </w:tc>
        <w:tc>
          <w:tcPr>
            <w:tcW w:w="43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178,544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r>
      <w:tr>
        <w:trPr>
          <w:trHeight w:val="180"/>
        </w:trPr>
        <w:tc>
          <w:tcPr>
            <w:tcW w:w="2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43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1,844,896</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3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Home equity loans</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3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2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922,634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915,614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r>
      <w:tr>
        <w:trPr>
          <w:trHeight w:val="171"/>
        </w:trPr>
        <w:tc>
          <w:tcPr>
            <w:tcW w:w="20" w:type="dxa"/>
            <w:vAlign w:val="bottom"/>
          </w:tcPr>
          <w:p>
            <w:pPr>
              <w:spacing w:after="0"/>
              <w:rPr>
                <w:sz w:val="14"/>
                <w:szCs w:val="14"/>
                <w:color w:val="auto"/>
              </w:rPr>
            </w:pPr>
          </w:p>
        </w:tc>
        <w:tc>
          <w:tcPr>
            <w:tcW w:w="43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923,858</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3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consumer loans</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116,312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114,164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89,218</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0" w:type="dxa"/>
            <w:vAlign w:val="bottom"/>
          </w:tcPr>
          <w:p>
            <w:pPr>
              <w:spacing w:after="0"/>
              <w:rPr>
                <w:sz w:val="15"/>
                <w:szCs w:val="15"/>
                <w:color w:val="auto"/>
              </w:rPr>
            </w:pPr>
          </w:p>
        </w:tc>
        <w:tc>
          <w:tcPr>
            <w:tcW w:w="43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80"/>
        </w:trPr>
        <w:tc>
          <w:tcPr>
            <w:tcW w:w="20" w:type="dxa"/>
            <w:vAlign w:val="bottom"/>
            <w:shd w:val="clear" w:color="auto" w:fill="CCEEFF"/>
          </w:tcPr>
          <w:p>
            <w:pPr>
              <w:spacing w:after="0"/>
              <w:rPr>
                <w:sz w:val="15"/>
                <w:szCs w:val="15"/>
                <w:color w:val="auto"/>
              </w:rPr>
            </w:pPr>
          </w:p>
        </w:tc>
        <w:tc>
          <w:tcPr>
            <w:tcW w:w="4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42,457</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20" w:type="dxa"/>
            <w:vAlign w:val="bottom"/>
          </w:tcPr>
          <w:p>
            <w:pPr>
              <w:spacing w:after="0"/>
              <w:rPr>
                <w:sz w:val="14"/>
                <w:szCs w:val="14"/>
                <w:color w:val="auto"/>
              </w:rPr>
            </w:pPr>
          </w:p>
        </w:tc>
        <w:tc>
          <w:tcPr>
            <w:tcW w:w="43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388,678</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383,836</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Note 4. Leases</w:t>
      </w:r>
    </w:p>
    <w:p>
      <w:pPr>
        <w:spacing w:after="0" w:line="2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The Company leases certain land, premises and equipment from third parties. ROU assets for operating and finance leases are included in right-of-use assets and ROU lease liabilities are included in operating lease liabilities and finance lease liabilities, respectively, on the Company’s statements of financial condition. The following table summarizes the Company’s leases: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color w:val="auto"/>
              </w:rPr>
              <w:t>June 30, 2025</w:t>
            </w: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Borders>
              <w:bottom w:val="single" w:sz="8" w:color="auto"/>
            </w:tcBorders>
            <w:gridSpan w:val="6"/>
          </w:tcPr>
          <w:p>
            <w:pPr>
              <w:jc w:val="right"/>
              <w:ind w:right="100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3"/>
          </w:tcPr>
          <w:p>
            <w:pPr>
              <w:jc w:val="center"/>
              <w:ind w:right="860"/>
              <w:spacing w:after="0" w:line="129" w:lineRule="exact"/>
              <w:rPr>
                <w:sz w:val="20"/>
                <w:szCs w:val="20"/>
                <w:color w:val="auto"/>
              </w:rPr>
            </w:pPr>
            <w:r>
              <w:rPr>
                <w:rFonts w:ascii="Times New Roman" w:cs="Times New Roman" w:eastAsia="Times New Roman" w:hAnsi="Times New Roman"/>
                <w:sz w:val="14"/>
                <w:szCs w:val="14"/>
                <w:color w:val="auto"/>
                <w:w w:val="99"/>
              </w:rPr>
              <w:t>Finance</w:t>
            </w:r>
          </w:p>
        </w:tc>
        <w:tc>
          <w:tcPr>
            <w:tcW w:w="1160" w:type="dxa"/>
            <w:vAlign w:val="bottom"/>
            <w:gridSpan w:val="2"/>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Operating</w:t>
            </w:r>
          </w:p>
        </w:tc>
        <w:tc>
          <w:tcPr>
            <w:tcW w:w="80" w:type="dxa"/>
            <w:vAlign w:val="bottom"/>
          </w:tcPr>
          <w:p>
            <w:pPr>
              <w:spacing w:after="0"/>
              <w:rPr>
                <w:sz w:val="11"/>
                <w:szCs w:val="11"/>
                <w:color w:val="auto"/>
              </w:rPr>
            </w:pPr>
          </w:p>
        </w:tc>
        <w:tc>
          <w:tcPr>
            <w:tcW w:w="2080" w:type="dxa"/>
            <w:vAlign w:val="bottom"/>
            <w:gridSpan w:val="5"/>
          </w:tcPr>
          <w:p>
            <w:pPr>
              <w:jc w:val="center"/>
              <w:ind w:right="480"/>
              <w:spacing w:after="0" w:line="129" w:lineRule="exact"/>
              <w:rPr>
                <w:sz w:val="20"/>
                <w:szCs w:val="20"/>
                <w:color w:val="auto"/>
              </w:rPr>
            </w:pPr>
            <w:r>
              <w:rPr>
                <w:rFonts w:ascii="Times New Roman" w:cs="Times New Roman" w:eastAsia="Times New Roman" w:hAnsi="Times New Roman"/>
                <w:sz w:val="14"/>
                <w:szCs w:val="14"/>
                <w:color w:val="auto"/>
                <w:w w:val="99"/>
              </w:rPr>
              <w:t>Finance</w:t>
            </w:r>
          </w:p>
        </w:tc>
        <w:tc>
          <w:tcPr>
            <w:tcW w:w="120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Operating</w:t>
            </w: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2"/>
                <w:szCs w:val="12"/>
                <w:color w:val="auto"/>
              </w:rPr>
            </w:pPr>
          </w:p>
        </w:tc>
        <w:tc>
          <w:tcPr>
            <w:tcW w:w="178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color w:val="auto"/>
                <w:w w:val="99"/>
              </w:rPr>
              <w:t>Leases</w:t>
            </w:r>
          </w:p>
        </w:tc>
        <w:tc>
          <w:tcPr>
            <w:tcW w:w="124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208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20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Leases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ROU assets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30,860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31,022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(12,945)</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(11,056)</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6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ROU assets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17,915</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38,610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19,966</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36,286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19,405</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42,274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bottom w:val="single" w:sz="8" w:color="auto"/>
            </w:tcBorders>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rPr>
              <w:t>21,279</w:t>
            </w: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39,902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years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years</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 years</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years</w:t>
            </w:r>
          </w:p>
        </w:tc>
      </w:tr>
      <w:tr>
        <w:trPr>
          <w:trHeight w:val="184"/>
        </w:trPr>
        <w:tc>
          <w:tcPr>
            <w:tcW w:w="2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6"/>
                <w:szCs w:val="16"/>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431"/>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Maturities of lease liabilities consist of the following:</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4"/>
                <w:szCs w:val="14"/>
                <w:color w:val="auto"/>
              </w:rPr>
              <w:t>June 30, 2025</w:t>
            </w:r>
          </w:p>
        </w:tc>
        <w:tc>
          <w:tcPr>
            <w:tcW w:w="120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5"/>
          </w:tcPr>
          <w:p>
            <w:pPr>
              <w:jc w:val="center"/>
              <w:ind w:right="640"/>
              <w:spacing w:after="0" w:line="129" w:lineRule="exact"/>
              <w:rPr>
                <w:sz w:val="20"/>
                <w:szCs w:val="20"/>
                <w:color w:val="auto"/>
              </w:rPr>
            </w:pPr>
            <w:r>
              <w:rPr>
                <w:rFonts w:ascii="Times New Roman" w:cs="Times New Roman" w:eastAsia="Times New Roman" w:hAnsi="Times New Roman"/>
                <w:sz w:val="14"/>
                <w:szCs w:val="14"/>
                <w:color w:val="auto"/>
                <w:w w:val="99"/>
              </w:rPr>
              <w:t>Finance</w:t>
            </w:r>
          </w:p>
        </w:tc>
        <w:tc>
          <w:tcPr>
            <w:tcW w:w="1200" w:type="dxa"/>
            <w:vAlign w:val="bottom"/>
          </w:tcPr>
          <w:p>
            <w:pPr>
              <w:jc w:val="right"/>
              <w:ind w:right="469"/>
              <w:spacing w:after="0" w:line="129" w:lineRule="exact"/>
              <w:rPr>
                <w:sz w:val="20"/>
                <w:szCs w:val="20"/>
                <w:color w:val="auto"/>
              </w:rPr>
            </w:pPr>
            <w:r>
              <w:rPr>
                <w:rFonts w:ascii="Times New Roman" w:cs="Times New Roman" w:eastAsia="Times New Roman" w:hAnsi="Times New Roman"/>
                <w:sz w:val="14"/>
                <w:szCs w:val="14"/>
                <w:color w:val="auto"/>
              </w:rPr>
              <w:t>Operating</w:t>
            </w: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5"/>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200" w:type="dxa"/>
            <w:vAlign w:val="bottom"/>
          </w:tcPr>
          <w:p>
            <w:pPr>
              <w:jc w:val="right"/>
              <w:ind w:right="549"/>
              <w:spacing w:after="0" w:line="149" w:lineRule="exact"/>
              <w:rPr>
                <w:sz w:val="20"/>
                <w:szCs w:val="20"/>
                <w:color w:val="auto"/>
              </w:rPr>
            </w:pPr>
            <w:r>
              <w:rPr>
                <w:rFonts w:ascii="Times New Roman" w:cs="Times New Roman" w:eastAsia="Times New Roman" w:hAnsi="Times New Roman"/>
                <w:sz w:val="14"/>
                <w:szCs w:val="14"/>
                <w:color w:val="auto"/>
              </w:rPr>
              <w:t>Leases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within one year</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r>
      <w:tr>
        <w:trPr>
          <w:trHeight w:val="180"/>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Maturing one year through two years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w:t>
            </w: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two years through three years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w:t>
            </w:r>
          </w:p>
        </w:tc>
      </w:tr>
      <w:tr>
        <w:trPr>
          <w:trHeight w:val="180"/>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Maturing three years through four years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w:t>
            </w: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four years through five years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r>
      <w:tr>
        <w:trPr>
          <w:trHeight w:val="180"/>
        </w:trPr>
        <w:tc>
          <w:tcPr>
            <w:tcW w:w="20" w:type="dxa"/>
            <w:vAlign w:val="bottom"/>
            <w:tcBorders>
              <w:bottom w:val="single" w:sz="8" w:color="CCEEFF"/>
            </w:tcBorders>
          </w:tcPr>
          <w:p>
            <w:pPr>
              <w:spacing w:after="0"/>
              <w:rPr>
                <w:sz w:val="15"/>
                <w:szCs w:val="15"/>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32,281</w:t>
            </w:r>
          </w:p>
        </w:tc>
      </w:tr>
      <w:tr>
        <w:trPr>
          <w:trHeight w:val="171"/>
        </w:trPr>
        <w:tc>
          <w:tcPr>
            <w:tcW w:w="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lease payments</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56,640</w:t>
            </w:r>
          </w:p>
        </w:tc>
      </w:tr>
      <w:tr>
        <w:trPr>
          <w:trHeight w:val="160"/>
        </w:trPr>
        <w:tc>
          <w:tcPr>
            <w:tcW w:w="20" w:type="dxa"/>
            <w:vAlign w:val="bottom"/>
          </w:tcPr>
          <w:p>
            <w:pPr>
              <w:spacing w:after="0"/>
              <w:rPr>
                <w:sz w:val="13"/>
                <w:szCs w:val="1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w:t>
            </w:r>
          </w:p>
        </w:tc>
      </w:tr>
      <w:tr>
        <w:trPr>
          <w:trHeight w:val="180"/>
        </w:trPr>
        <w:tc>
          <w:tcPr>
            <w:tcW w:w="20" w:type="dxa"/>
            <w:vAlign w:val="bottom"/>
            <w:tcBorders>
              <w:bottom w:val="single" w:sz="8" w:color="CCEEFF"/>
            </w:tcBorders>
          </w:tcPr>
          <w:p>
            <w:pPr>
              <w:spacing w:after="0"/>
              <w:rPr>
                <w:sz w:val="15"/>
                <w:szCs w:val="15"/>
                <w:color w:val="auto"/>
              </w:rPr>
            </w:pPr>
          </w:p>
        </w:tc>
        <w:tc>
          <w:tcPr>
            <w:tcW w:w="46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Long-term</w:t>
            </w:r>
          </w:p>
        </w:tc>
        <w:tc>
          <w:tcPr>
            <w:tcW w:w="3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38,122</w:t>
            </w:r>
          </w:p>
        </w:tc>
      </w:tr>
      <w:tr>
        <w:trPr>
          <w:trHeight w:val="171"/>
        </w:trPr>
        <w:tc>
          <w:tcPr>
            <w:tcW w:w="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present value of lease payments</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42,274</w:t>
            </w:r>
          </w:p>
        </w:tc>
      </w:tr>
      <w:tr>
        <w:trPr>
          <w:trHeight w:val="171"/>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Difference between lease payments and present value of lease payments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7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components of lease expense included in other expense on the consolidated statements of operations consist of the following:</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ind w:left="760"/>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color w:val="auto"/>
              </w:rPr>
              <w:t>Six Months ended</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20" w:type="dxa"/>
            <w:vAlign w:val="bottom"/>
            <w:gridSpan w:val="4"/>
          </w:tcPr>
          <w:p>
            <w:pPr>
              <w:jc w:val="center"/>
              <w:ind w:right="88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64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2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08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right"/>
              <w:ind w:right="5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54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cost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Amortization of ROU assets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lease expense</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3,350</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6,226</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6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8"/>
          </w:tcPr>
          <w:p>
            <w:pPr>
              <w:jc w:val="center"/>
              <w:ind w:right="940"/>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829"/>
              <w:spacing w:after="0"/>
              <w:rPr>
                <w:sz w:val="20"/>
                <w:szCs w:val="20"/>
                <w:color w:val="auto"/>
              </w:rPr>
            </w:pPr>
            <w:r>
              <w:rPr>
                <w:rFonts w:ascii="Times New Roman" w:cs="Times New Roman" w:eastAsia="Times New Roman" w:hAnsi="Times New Roman"/>
                <w:sz w:val="14"/>
                <w:szCs w:val="14"/>
                <w:color w:val="auto"/>
              </w:rPr>
              <w:t>June 30, 2025</w:t>
            </w:r>
          </w:p>
        </w:tc>
        <w:tc>
          <w:tcPr>
            <w:tcW w:w="80" w:type="dxa"/>
            <w:vAlign w:val="bottom"/>
          </w:tcPr>
          <w:p>
            <w:pPr>
              <w:spacing w:after="0"/>
              <w:rPr>
                <w:sz w:val="14"/>
                <w:szCs w:val="14"/>
                <w:color w:val="auto"/>
              </w:rPr>
            </w:pPr>
          </w:p>
        </w:tc>
        <w:tc>
          <w:tcPr>
            <w:tcW w:w="2560" w:type="dxa"/>
            <w:vAlign w:val="bottom"/>
            <w:tcBorders>
              <w:bottom w:val="single" w:sz="8" w:color="auto"/>
            </w:tcBorders>
            <w:gridSpan w:val="6"/>
          </w:tcPr>
          <w:p>
            <w:pPr>
              <w:jc w:val="right"/>
              <w:ind w:right="809"/>
              <w:spacing w:after="0"/>
              <w:rPr>
                <w:sz w:val="20"/>
                <w:szCs w:val="20"/>
                <w:color w:val="auto"/>
              </w:rPr>
            </w:pPr>
            <w:r>
              <w:rPr>
                <w:rFonts w:ascii="Times New Roman" w:cs="Times New Roman" w:eastAsia="Times New Roman" w:hAnsi="Times New Roman"/>
                <w:sz w:val="14"/>
                <w:szCs w:val="14"/>
                <w:color w:val="auto"/>
              </w:rPr>
              <w:t>June 30, 2024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Finance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89"/>
              <w:spacing w:after="0" w:line="129" w:lineRule="exact"/>
              <w:rPr>
                <w:sz w:val="20"/>
                <w:szCs w:val="20"/>
                <w:color w:val="auto"/>
              </w:rPr>
            </w:pPr>
            <w:r>
              <w:rPr>
                <w:rFonts w:ascii="Times New Roman" w:cs="Times New Roman" w:eastAsia="Times New Roman" w:hAnsi="Times New Roman"/>
                <w:sz w:val="14"/>
                <w:szCs w:val="14"/>
                <w:color w:val="auto"/>
                <w:w w:val="99"/>
              </w:rPr>
              <w:t>Operating</w:t>
            </w:r>
          </w:p>
        </w:tc>
        <w:tc>
          <w:tcPr>
            <w:tcW w:w="80" w:type="dxa"/>
            <w:vAlign w:val="bottom"/>
          </w:tcPr>
          <w:p>
            <w:pPr>
              <w:spacing w:after="0"/>
              <w:rPr>
                <w:sz w:val="11"/>
                <w:szCs w:val="11"/>
                <w:color w:val="auto"/>
              </w:rPr>
            </w:pPr>
          </w:p>
        </w:tc>
        <w:tc>
          <w:tcPr>
            <w:tcW w:w="1540" w:type="dxa"/>
            <w:vAlign w:val="bottom"/>
            <w:gridSpan w:val="5"/>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w w:val="99"/>
              </w:rPr>
              <w:t>Finance</w:t>
            </w:r>
          </w:p>
        </w:tc>
        <w:tc>
          <w:tcPr>
            <w:tcW w:w="102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Leases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09"/>
              <w:spacing w:after="0" w:line="149" w:lineRule="exact"/>
              <w:rPr>
                <w:sz w:val="20"/>
                <w:szCs w:val="20"/>
                <w:color w:val="auto"/>
              </w:rPr>
            </w:pPr>
            <w:r>
              <w:rPr>
                <w:rFonts w:ascii="Times New Roman" w:cs="Times New Roman" w:eastAsia="Times New Roman" w:hAnsi="Times New Roman"/>
                <w:sz w:val="14"/>
                <w:szCs w:val="14"/>
                <w:color w:val="auto"/>
                <w:w w:val="99"/>
              </w:rPr>
              <w:t>Leases</w:t>
            </w:r>
          </w:p>
        </w:tc>
        <w:tc>
          <w:tcPr>
            <w:tcW w:w="80" w:type="dxa"/>
            <w:vAlign w:val="bottom"/>
          </w:tcPr>
          <w:p>
            <w:pPr>
              <w:spacing w:after="0"/>
              <w:rPr>
                <w:sz w:val="12"/>
                <w:szCs w:val="12"/>
                <w:color w:val="auto"/>
              </w:rPr>
            </w:pPr>
          </w:p>
        </w:tc>
        <w:tc>
          <w:tcPr>
            <w:tcW w:w="154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02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color w:val="auto"/>
                <w:w w:val="99"/>
              </w:rPr>
              <w:t>Leases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cash flows</w:t>
            </w:r>
          </w:p>
        </w:tc>
        <w:tc>
          <w:tcPr>
            <w:tcW w:w="3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Financing cash flows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7"/>
          </w:tcPr>
          <w:p>
            <w:pPr>
              <w:jc w:val="center"/>
              <w:ind w:right="1040"/>
              <w:spacing w:after="0"/>
              <w:rPr>
                <w:sz w:val="20"/>
                <w:szCs w:val="20"/>
                <w:color w:val="auto"/>
              </w:rPr>
            </w:pPr>
            <w:r>
              <w:rPr>
                <w:rFonts w:ascii="Times New Roman" w:cs="Times New Roman" w:eastAsia="Times New Roman" w:hAnsi="Times New Roman"/>
                <w:sz w:val="14"/>
                <w:szCs w:val="14"/>
                <w:color w:val="auto"/>
              </w:rPr>
              <w:t>Six Months ended</w:t>
            </w: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829"/>
              <w:spacing w:after="0"/>
              <w:rPr>
                <w:sz w:val="20"/>
                <w:szCs w:val="20"/>
                <w:color w:val="auto"/>
              </w:rPr>
            </w:pPr>
            <w:r>
              <w:rPr>
                <w:rFonts w:ascii="Times New Roman" w:cs="Times New Roman" w:eastAsia="Times New Roman" w:hAnsi="Times New Roman"/>
                <w:sz w:val="14"/>
                <w:szCs w:val="14"/>
                <w:color w:val="auto"/>
              </w:rPr>
              <w:t>June 30, 2025</w:t>
            </w:r>
          </w:p>
        </w:tc>
        <w:tc>
          <w:tcPr>
            <w:tcW w:w="80" w:type="dxa"/>
            <w:vAlign w:val="bottom"/>
          </w:tcPr>
          <w:p>
            <w:pPr>
              <w:spacing w:after="0"/>
              <w:rPr>
                <w:sz w:val="14"/>
                <w:szCs w:val="14"/>
                <w:color w:val="auto"/>
              </w:rPr>
            </w:pPr>
          </w:p>
        </w:tc>
        <w:tc>
          <w:tcPr>
            <w:tcW w:w="2560" w:type="dxa"/>
            <w:vAlign w:val="bottom"/>
            <w:tcBorders>
              <w:bottom w:val="single" w:sz="8" w:color="auto"/>
            </w:tcBorders>
            <w:gridSpan w:val="6"/>
          </w:tcPr>
          <w:p>
            <w:pPr>
              <w:jc w:val="right"/>
              <w:ind w:right="809"/>
              <w:spacing w:after="0"/>
              <w:rPr>
                <w:sz w:val="20"/>
                <w:szCs w:val="20"/>
                <w:color w:val="auto"/>
              </w:rPr>
            </w:pPr>
            <w:r>
              <w:rPr>
                <w:rFonts w:ascii="Times New Roman" w:cs="Times New Roman" w:eastAsia="Times New Roman" w:hAnsi="Times New Roman"/>
                <w:sz w:val="14"/>
                <w:szCs w:val="14"/>
                <w:color w:val="auto"/>
              </w:rPr>
              <w:t>June 30, 2024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Finance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89"/>
              <w:spacing w:after="0" w:line="135" w:lineRule="exact"/>
              <w:rPr>
                <w:sz w:val="20"/>
                <w:szCs w:val="20"/>
                <w:color w:val="auto"/>
              </w:rPr>
            </w:pPr>
            <w:r>
              <w:rPr>
                <w:rFonts w:ascii="Times New Roman" w:cs="Times New Roman" w:eastAsia="Times New Roman" w:hAnsi="Times New Roman"/>
                <w:sz w:val="14"/>
                <w:szCs w:val="14"/>
                <w:color w:val="auto"/>
                <w:w w:val="99"/>
              </w:rPr>
              <w:t>Operating</w:t>
            </w:r>
          </w:p>
        </w:tc>
        <w:tc>
          <w:tcPr>
            <w:tcW w:w="80" w:type="dxa"/>
            <w:vAlign w:val="bottom"/>
          </w:tcPr>
          <w:p>
            <w:pPr>
              <w:spacing w:after="0"/>
              <w:rPr>
                <w:sz w:val="11"/>
                <w:szCs w:val="11"/>
                <w:color w:val="auto"/>
              </w:rPr>
            </w:pPr>
          </w:p>
        </w:tc>
        <w:tc>
          <w:tcPr>
            <w:tcW w:w="1540" w:type="dxa"/>
            <w:vAlign w:val="bottom"/>
            <w:gridSpan w:val="5"/>
          </w:tcPr>
          <w:p>
            <w:pPr>
              <w:jc w:val="center"/>
              <w:ind w:right="300"/>
              <w:spacing w:after="0" w:line="135" w:lineRule="exact"/>
              <w:rPr>
                <w:sz w:val="20"/>
                <w:szCs w:val="20"/>
                <w:color w:val="auto"/>
              </w:rPr>
            </w:pPr>
            <w:r>
              <w:rPr>
                <w:rFonts w:ascii="Times New Roman" w:cs="Times New Roman" w:eastAsia="Times New Roman" w:hAnsi="Times New Roman"/>
                <w:sz w:val="14"/>
                <w:szCs w:val="14"/>
                <w:color w:val="auto"/>
                <w:w w:val="99"/>
              </w:rPr>
              <w:t>Finance</w:t>
            </w:r>
          </w:p>
        </w:tc>
        <w:tc>
          <w:tcPr>
            <w:tcW w:w="102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Leases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09"/>
              <w:spacing w:after="0" w:line="122" w:lineRule="exact"/>
              <w:rPr>
                <w:sz w:val="20"/>
                <w:szCs w:val="20"/>
                <w:color w:val="auto"/>
              </w:rPr>
            </w:pPr>
            <w:r>
              <w:rPr>
                <w:rFonts w:ascii="Times New Roman" w:cs="Times New Roman" w:eastAsia="Times New Roman" w:hAnsi="Times New Roman"/>
                <w:sz w:val="14"/>
                <w:szCs w:val="14"/>
                <w:color w:val="auto"/>
                <w:w w:val="99"/>
              </w:rPr>
              <w:t>Leases</w:t>
            </w:r>
          </w:p>
        </w:tc>
        <w:tc>
          <w:tcPr>
            <w:tcW w:w="80" w:type="dxa"/>
            <w:vAlign w:val="bottom"/>
          </w:tcPr>
          <w:p>
            <w:pPr>
              <w:spacing w:after="0"/>
              <w:rPr>
                <w:sz w:val="12"/>
                <w:szCs w:val="12"/>
                <w:color w:val="auto"/>
              </w:rPr>
            </w:pPr>
          </w:p>
        </w:tc>
        <w:tc>
          <w:tcPr>
            <w:tcW w:w="1540" w:type="dxa"/>
            <w:vAlign w:val="bottom"/>
            <w:gridSpan w:val="5"/>
          </w:tcPr>
          <w:p>
            <w:pPr>
              <w:jc w:val="center"/>
              <w:ind w:right="300"/>
              <w:spacing w:after="0" w:line="122" w:lineRule="exact"/>
              <w:rPr>
                <w:sz w:val="20"/>
                <w:szCs w:val="20"/>
                <w:color w:val="auto"/>
              </w:rPr>
            </w:pPr>
            <w:r>
              <w:rPr>
                <w:rFonts w:ascii="Times New Roman" w:cs="Times New Roman" w:eastAsia="Times New Roman" w:hAnsi="Times New Roman"/>
                <w:sz w:val="14"/>
                <w:szCs w:val="14"/>
                <w:color w:val="auto"/>
              </w:rPr>
              <w:t>Leases</w:t>
            </w:r>
          </w:p>
        </w:tc>
        <w:tc>
          <w:tcPr>
            <w:tcW w:w="1020" w:type="dxa"/>
            <w:vAlign w:val="bottom"/>
          </w:tcPr>
          <w:p>
            <w:pPr>
              <w:jc w:val="center"/>
              <w:ind w:right="129"/>
              <w:spacing w:after="0" w:line="122" w:lineRule="exact"/>
              <w:rPr>
                <w:sz w:val="20"/>
                <w:szCs w:val="20"/>
                <w:color w:val="auto"/>
              </w:rPr>
            </w:pPr>
            <w:r>
              <w:rPr>
                <w:rFonts w:ascii="Times New Roman" w:cs="Times New Roman" w:eastAsia="Times New Roman" w:hAnsi="Times New Roman"/>
                <w:sz w:val="14"/>
                <w:szCs w:val="14"/>
                <w:color w:val="auto"/>
                <w:w w:val="99"/>
              </w:rPr>
              <w:t>Leases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cash flows</w:t>
            </w:r>
          </w:p>
        </w:tc>
        <w:tc>
          <w:tcPr>
            <w:tcW w:w="3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Financing cash flows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1,959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leases office space to third parties through operating leases. Rent income from these leases for the six months ended June 30, 2025, and 2024 was $808,000 and $731,000, respectively, and is recorded in other income within non-interest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5. Goodwill</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61"/>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schedule discloses the changes in the carrying value of goodwill:</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Six Months ended</w:t>
            </w:r>
          </w:p>
        </w:tc>
        <w:tc>
          <w:tcPr>
            <w:tcW w:w="94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1"/>
                <w:szCs w:val="11"/>
                <w:color w:val="auto"/>
              </w:rPr>
            </w:pPr>
          </w:p>
        </w:tc>
        <w:tc>
          <w:tcPr>
            <w:tcW w:w="2000" w:type="dxa"/>
            <w:vAlign w:val="bottom"/>
            <w:gridSpan w:val="3"/>
          </w:tcPr>
          <w:p>
            <w:pPr>
              <w:ind w:left="48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94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w w:val="94"/>
              </w:rPr>
              <w:t>June 30,</w:t>
            </w:r>
          </w:p>
        </w:tc>
      </w:tr>
      <w:tr>
        <w:trPr>
          <w:trHeight w:val="149"/>
        </w:trPr>
        <w:tc>
          <w:tcPr>
            <w:tcW w:w="20" w:type="dxa"/>
            <w:vAlign w:val="bottom"/>
          </w:tcPr>
          <w:p>
            <w:pPr>
              <w:spacing w:after="0"/>
              <w:rPr>
                <w:sz w:val="12"/>
                <w:szCs w:val="1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42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carrying value at beginning of period</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1,051,318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1,023,762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1,051,318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985,393</w:t>
            </w:r>
          </w:p>
        </w:tc>
      </w:tr>
      <w:tr>
        <w:trPr>
          <w:trHeight w:val="180"/>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 and adjustments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38,369</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carrying value at end of period</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performed its annual goodwill impairment test during the third quarter of 2024 and determined the fair value of the aggregated reporting units exceeded the carrying value, such that the Company’s goodwill was not considered impaired. Changes in the economic environment, operations of the aggregated reporting units, or other factors could result in the decline in the fair value of the aggregated reporting units which could result in a goodwill impairment in the future. Accumulated impairment charges were $40,159,000 as of June 30, 2025 and December 31, 2024.</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For additional information on goodwill related to acquisitions, see Note 14.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Loan Servicing</w:t>
      </w:r>
    </w:p>
    <w:p>
      <w:pPr>
        <w:spacing w:after="0" w:line="1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Mortgage loans that are serviced for others are not reported as assets, only the servicing rights are recorded and included in other assets. The following schedules disclose the change in the carrying value of mortgage servicing rights that is included in other assets, principal balances of loans serviced and the fair value of mortgage servicing rights:</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20"/>
              <w:spacing w:after="0" w:line="143" w:lineRule="exact"/>
              <w:rPr>
                <w:sz w:val="20"/>
                <w:szCs w:val="20"/>
                <w:color w:val="auto"/>
              </w:rPr>
            </w:pPr>
            <w:r>
              <w:rPr>
                <w:rFonts w:ascii="Times New Roman" w:cs="Times New Roman" w:eastAsia="Times New Roman" w:hAnsi="Times New Roman"/>
                <w:sz w:val="14"/>
                <w:szCs w:val="14"/>
                <w:color w:val="auto"/>
              </w:rPr>
              <w:t>June 30,</w:t>
            </w:r>
          </w:p>
        </w:tc>
        <w:tc>
          <w:tcPr>
            <w:tcW w:w="1520" w:type="dxa"/>
            <w:vAlign w:val="bottom"/>
          </w:tcPr>
          <w:p>
            <w:pPr>
              <w:jc w:val="right"/>
              <w:ind w:right="289"/>
              <w:spacing w:after="0" w:line="143"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00" w:type="dxa"/>
            <w:vAlign w:val="bottom"/>
          </w:tcPr>
          <w:p>
            <w:pPr>
              <w:spacing w:after="0"/>
              <w:rPr>
                <w:sz w:val="12"/>
                <w:szCs w:val="12"/>
                <w:color w:val="auto"/>
              </w:rPr>
            </w:pPr>
          </w:p>
        </w:tc>
        <w:tc>
          <w:tcPr>
            <w:tcW w:w="1220" w:type="dxa"/>
            <w:vAlign w:val="bottom"/>
          </w:tcPr>
          <w:p>
            <w:pPr>
              <w:jc w:val="right"/>
              <w:ind w:right="5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520" w:type="dxa"/>
            <w:vAlign w:val="bottom"/>
          </w:tcPr>
          <w:p>
            <w:pPr>
              <w:jc w:val="right"/>
              <w:ind w:right="54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Carrying value at beginning of period</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11,958</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Additions</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r>
      <w:tr>
        <w:trPr>
          <w:trHeight w:val="171"/>
        </w:trPr>
        <w:tc>
          <w:tcPr>
            <w:tcW w:w="20" w:type="dxa"/>
            <w:vAlign w:val="bottom"/>
          </w:tcPr>
          <w:p>
            <w:pPr>
              <w:spacing w:after="0"/>
              <w:rPr>
                <w:sz w:val="14"/>
                <w:szCs w:val="14"/>
                <w:color w:val="auto"/>
              </w:rPr>
            </w:pPr>
          </w:p>
        </w:tc>
        <w:tc>
          <w:tcPr>
            <w:tcW w:w="8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Carrying value at end of period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11,738</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balances of loans serviced for others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1,481,486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1,507,439</w:t>
            </w:r>
          </w:p>
        </w:tc>
      </w:tr>
      <w:tr>
        <w:trPr>
          <w:trHeight w:val="184"/>
        </w:trPr>
        <w:tc>
          <w:tcPr>
            <w:tcW w:w="20" w:type="dxa"/>
            <w:vAlign w:val="bottom"/>
          </w:tcPr>
          <w:p>
            <w:pPr>
              <w:spacing w:after="0"/>
              <w:rPr>
                <w:sz w:val="16"/>
                <w:szCs w:val="16"/>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of servicing rights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17,427</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17,902</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Variable Interest Entities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Consolidated Variable Interest Entities</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consolidated financial statements. The primary activities of the CDEs are recognized in commercial loans interest income and other borrowed funds interest expense on the Company’s consolidated statements of operations and the federal income tax credit allocations from the investments are recognized in the Company’s consolidated statements of operations as a component of income tax expense. Such related cash flows are recognized in loans originated, principal collected on loans and change in other borrowed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7" w:name="page38"/>
    <w:bookmarkEnd w:id="37"/>
    <w:p>
      <w:pPr>
        <w:jc w:val="both"/>
        <w:spacing w:after="0" w:line="287" w:lineRule="auto"/>
        <w:rPr>
          <w:sz w:val="20"/>
          <w:szCs w:val="20"/>
          <w:color w:val="auto"/>
        </w:rPr>
      </w:pPr>
      <w:r>
        <w:rPr>
          <w:rFonts w:ascii="Times New Roman" w:cs="Times New Roman" w:eastAsia="Times New Roman" w:hAnsi="Times New Roman"/>
          <w:sz w:val="14"/>
          <w:szCs w:val="14"/>
          <w:color w:val="auto"/>
        </w:rPr>
        <w:t>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following table summarizes the carrying amounts of the consolidated VIEs’ assets and liabilities included in the Company’s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right"/>
              <w:ind w:right="349"/>
              <w:spacing w:after="0" w:line="144"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receivable</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123,579</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1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80,530</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79,858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204,465</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788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borrowed funds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62,366</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1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24,197</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86,997</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Unconsolidated Variable Interest Entities</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has equity investments in LIHTC partnerships, both directly and through tax credit funds, with carrying values of $211,577,000 and $203,124,000 as of June 30, 2025 and December 31, 2024,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statements of financial condition and any unfunded equity commitments in other liabilities. There were no impairment losses on the Company’s LIHTC investments during the six months ended June 30, 2025 and 2024. Future unfunded contingent equity commitments related to the Company’s LIHTC investments at June 30, 2025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5"/>
                <w:szCs w:val="15"/>
                <w:color w:val="auto"/>
              </w:rPr>
            </w:pPr>
          </w:p>
        </w:tc>
        <w:tc>
          <w:tcPr>
            <w:tcW w:w="13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Amount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 ending December 31,</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86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37,965</w:t>
            </w:r>
          </w:p>
        </w:tc>
      </w:tr>
      <w:tr>
        <w:trPr>
          <w:trHeight w:val="180"/>
        </w:trPr>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8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33,513</w:t>
            </w: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12,713</w:t>
            </w:r>
          </w:p>
        </w:tc>
      </w:tr>
      <w:tr>
        <w:trPr>
          <w:trHeight w:val="180"/>
        </w:trPr>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8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80"/>
        </w:trPr>
        <w:tc>
          <w:tcPr>
            <w:tcW w:w="20" w:type="dxa"/>
            <w:vAlign w:val="bottom"/>
            <w:shd w:val="clear" w:color="auto" w:fill="CCEEFF"/>
          </w:tcPr>
          <w:p>
            <w:pPr>
              <w:spacing w:after="0"/>
              <w:rPr>
                <w:sz w:val="15"/>
                <w:szCs w:val="15"/>
                <w:color w:val="auto"/>
              </w:rPr>
            </w:pPr>
          </w:p>
        </w:tc>
        <w:tc>
          <w:tcPr>
            <w:tcW w:w="9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w:t>
            </w:r>
          </w:p>
        </w:tc>
      </w:tr>
      <w:tr>
        <w:trPr>
          <w:trHeight w:val="171"/>
        </w:trPr>
        <w:tc>
          <w:tcPr>
            <w:tcW w:w="20" w:type="dxa"/>
            <w:vAlign w:val="bottom"/>
          </w:tcPr>
          <w:p>
            <w:pPr>
              <w:spacing w:after="0"/>
              <w:rPr>
                <w:sz w:val="14"/>
                <w:szCs w:val="14"/>
                <w:color w:val="auto"/>
              </w:rPr>
            </w:pPr>
          </w:p>
        </w:tc>
        <w:tc>
          <w:tcPr>
            <w:tcW w:w="9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88,740</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has elected to use the proportional amortization method, and more specifically the practical expedient method, for the amortization of all eligible LIHTC investments and amortization expense is recognized as a component of income tax expense. The following table summarizes the amortization expense and the amount of tax credits and other tax benefits recognized for qualified affordable housing project investments during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Six Months ended</w:t>
            </w:r>
          </w:p>
        </w:tc>
        <w:tc>
          <w:tcPr>
            <w:tcW w:w="94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1"/>
                <w:szCs w:val="11"/>
                <w:color w:val="auto"/>
              </w:rPr>
            </w:pPr>
          </w:p>
        </w:tc>
        <w:tc>
          <w:tcPr>
            <w:tcW w:w="2000" w:type="dxa"/>
            <w:vAlign w:val="bottom"/>
            <w:gridSpan w:val="3"/>
          </w:tcPr>
          <w:p>
            <w:pPr>
              <w:ind w:left="48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94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w w:val="94"/>
              </w:rPr>
              <w:t>June 30,</w:t>
            </w:r>
          </w:p>
        </w:tc>
      </w:tr>
      <w:tr>
        <w:trPr>
          <w:trHeight w:val="149"/>
        </w:trPr>
        <w:tc>
          <w:tcPr>
            <w:tcW w:w="20" w:type="dxa"/>
            <w:vAlign w:val="bottom"/>
          </w:tcPr>
          <w:p>
            <w:pPr>
              <w:spacing w:after="0"/>
              <w:rPr>
                <w:sz w:val="12"/>
                <w:szCs w:val="1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42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10,388</w:t>
            </w:r>
          </w:p>
        </w:tc>
      </w:tr>
      <w:tr>
        <w:trPr>
          <w:trHeight w:val="184"/>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credits and other tax benefits recognized</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13,610</w:t>
            </w:r>
          </w:p>
        </w:tc>
      </w:tr>
    </w:tbl>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also owns the following trust subsidiaries, each of which issued trust preferred securities as capital instruments: Glacier Capital Trust II, Glacier Capital Trust III, Glacier Capital Trust IV, Citizens (ID) Statutory Trust I, Bank of the San Juans Bancorporation Trust I, First Company Statutory Trust 2001, First Company Statutory Trust 2003, FNB (UT) Statutory Trust I and FNB (UT) Statutory Trust II.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statements of financial condition.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Securities Sold Under Agreements to Repurchase</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following table summarizes the carrying value of the Company’s securities sold under agreements to repurchase (“repurchase agreements”) by remaining contractual maturity of the agreements and category of collateral: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869"/>
              <w:spacing w:after="0"/>
              <w:rPr>
                <w:sz w:val="20"/>
                <w:szCs w:val="20"/>
                <w:color w:val="auto"/>
              </w:rPr>
            </w:pPr>
            <w:r>
              <w:rPr>
                <w:rFonts w:ascii="Times New Roman" w:cs="Times New Roman" w:eastAsia="Times New Roman" w:hAnsi="Times New Roman"/>
                <w:sz w:val="14"/>
                <w:szCs w:val="14"/>
                <w:color w:val="auto"/>
              </w:rPr>
              <w:t>Overnight and Continuous</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color w:val="auto"/>
                <w:w w:val="98"/>
              </w:rPr>
              <w:t>June 30,</w:t>
            </w:r>
          </w:p>
        </w:tc>
        <w:tc>
          <w:tcPr>
            <w:tcW w:w="1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2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64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1,976,228</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1,777,475</w:t>
            </w: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repurchase agreements are secured by debt securities with carrying values of $2,286,335,000 and $2,184,627,000 at June 30, 2025 and December 31, 2024,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Derivatives and Hedging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Flow Hedges</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i w:val="1"/>
          <w:iCs w:val="1"/>
          <w:color w:val="auto"/>
        </w:rPr>
        <w:t xml:space="preserve">Interest Rate Cap Derivatives. </w:t>
      </w:r>
      <w:r>
        <w:rPr>
          <w:rFonts w:ascii="Times New Roman" w:cs="Times New Roman" w:eastAsia="Times New Roman" w:hAnsi="Times New Roman"/>
          <w:sz w:val="14"/>
          <w:szCs w:val="14"/>
          <w:color w:val="auto"/>
        </w:rPr>
        <w:t>In 2020, the Company purchased interest rate caps designated as cash flow hedges with notional amounts totaling $130,500,000 on its variable rate subordinated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debentures. The interest rate caps, which matured as of March 31, 2025, required receipt of variable amounts from the counterparty when interest rates rose above the strike price in the contracts. The strike prices in the five year term contracts had a range from 1.5 percent to 2 percent. The variable rate was based on 90 days of compounded overnight SOFR plus a spread of 0.26161 percent. At June 30, 2025 and December 31, 2024, the interest rate caps had a fair value of $0 and $720,000, respectively, and were reported as other assets on the Company’s statements of financial condition. Amortization recorded on the interest rate caps totaled $0 and $84,000 for the six months ended June 30, 2025 and 2024, respectively, and was reported as a component of interest expense on subordinated debentures.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 of cash flow hedge accounting on OCI for the periods ending June 30, 2025 and 2024 was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gridSpan w:val="3"/>
          </w:tcPr>
          <w:p>
            <w:pPr>
              <w:jc w:val="center"/>
              <w:ind w:right="100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1"/>
                <w:szCs w:val="11"/>
                <w:color w:val="auto"/>
              </w:rPr>
            </w:pPr>
          </w:p>
        </w:tc>
        <w:tc>
          <w:tcPr>
            <w:tcW w:w="2000" w:type="dxa"/>
            <w:vAlign w:val="bottom"/>
            <w:gridSpan w:val="3"/>
          </w:tcPr>
          <w:p>
            <w:pPr>
              <w:jc w:val="center"/>
              <w:ind w:right="56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96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w w:val="98"/>
              </w:rPr>
              <w:t>June 30,</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44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of (loss) gain recognized in OCI</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184"/>
        </w:trPr>
        <w:tc>
          <w:tcPr>
            <w:tcW w:w="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 of gain reclassified from OCI to net income</w:t>
            </w:r>
          </w:p>
        </w:tc>
        <w:tc>
          <w:tcPr>
            <w:tcW w:w="340" w:type="dxa"/>
            <w:vAlign w:val="bottom"/>
          </w:tcPr>
          <w:p>
            <w:pPr>
              <w:spacing w:after="0"/>
              <w:rPr>
                <w:sz w:val="16"/>
                <w:szCs w:val="16"/>
                <w:color w:val="auto"/>
              </w:rPr>
            </w:pPr>
          </w:p>
        </w:tc>
        <w:tc>
          <w:tcPr>
            <w:tcW w:w="196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Fair Value Hedges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i w:val="1"/>
          <w:iCs w:val="1"/>
          <w:color w:val="auto"/>
        </w:rPr>
        <w:t xml:space="preserve">Interest Rate Swap Agreements. </w:t>
      </w:r>
      <w:r>
        <w:rPr>
          <w:rFonts w:ascii="Times New Roman" w:cs="Times New Roman" w:eastAsia="Times New Roman" w:hAnsi="Times New Roman"/>
          <w:sz w:val="14"/>
          <w:szCs w:val="14"/>
          <w:color w:val="auto"/>
        </w:rPr>
        <w:t>The Company entered into fair value hedges for a closed pool of fixed rate debt securities. The instruments are designated as fair value hedges as the changes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fair value of the interest rate swap are expected to offset changes in the fair value of the hedged item attributable to changes in the compounded overnight secured overnight financing (“SOFR”) rate, the designated benchmark interest rate. These derivative contracts involve the receipt of floating rate interest from a counterparty in exchange for the Company making fixed-rate payments over the life of the contract, without the exchange of the underlying notional value.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fourth quarter of 2024, the Company terminated the existing fair value hedges and paid $19,825,000. This basis adjustment to the carrying cost of the closed pool will be amortized over the remaining life of the securities in the closed pool. Subsequent to the termination, the Company entered into new fair value hedges that better protected the Company from the risk of changes to the overnight SOFR rate.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notional and estimated fair value amount of derivative positions outstanding: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June 30, 2025</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Weighted Average</w:t>
            </w:r>
          </w:p>
        </w:tc>
        <w:tc>
          <w:tcPr>
            <w:tcW w:w="12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Remaining</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2"/>
                <w:szCs w:val="12"/>
                <w:color w:val="auto"/>
              </w:rPr>
            </w:pPr>
          </w:p>
        </w:tc>
        <w:tc>
          <w:tcPr>
            <w:tcW w:w="15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Notional Amount</w:t>
            </w:r>
          </w:p>
        </w:tc>
        <w:tc>
          <w:tcPr>
            <w:tcW w:w="140" w:type="dxa"/>
            <w:vAlign w:val="bottom"/>
          </w:tcPr>
          <w:p>
            <w:pPr>
              <w:spacing w:after="0"/>
              <w:rPr>
                <w:sz w:val="12"/>
                <w:szCs w:val="12"/>
                <w:color w:val="auto"/>
              </w:rPr>
            </w:pPr>
          </w:p>
        </w:tc>
        <w:tc>
          <w:tcPr>
            <w:tcW w:w="134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Asset Derivative</w:t>
            </w:r>
          </w:p>
        </w:tc>
        <w:tc>
          <w:tcPr>
            <w:tcW w:w="180" w:type="dxa"/>
            <w:vAlign w:val="bottom"/>
          </w:tcPr>
          <w:p>
            <w:pPr>
              <w:spacing w:after="0"/>
              <w:rPr>
                <w:sz w:val="12"/>
                <w:szCs w:val="12"/>
                <w:color w:val="auto"/>
              </w:rPr>
            </w:pPr>
          </w:p>
        </w:tc>
        <w:tc>
          <w:tcPr>
            <w:tcW w:w="15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Liability Derivative</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Maturity</w:t>
            </w:r>
          </w:p>
        </w:tc>
        <w:tc>
          <w:tcPr>
            <w:tcW w:w="11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Receive Rate</w:t>
            </w:r>
          </w:p>
        </w:tc>
        <w:tc>
          <w:tcPr>
            <w:tcW w:w="120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Pay Rate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 securities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8"/>
              </w:rPr>
              <w:t>0.7 years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r>
      <w:tr>
        <w:trPr>
          <w:trHeight w:val="46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December 31, 2024</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Weighted Average</w:t>
            </w:r>
          </w:p>
        </w:tc>
        <w:tc>
          <w:tcPr>
            <w:tcW w:w="12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Remaining</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2"/>
                <w:szCs w:val="12"/>
                <w:color w:val="auto"/>
              </w:rPr>
            </w:pPr>
          </w:p>
        </w:tc>
        <w:tc>
          <w:tcPr>
            <w:tcW w:w="15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Notional Amount</w:t>
            </w:r>
          </w:p>
        </w:tc>
        <w:tc>
          <w:tcPr>
            <w:tcW w:w="140" w:type="dxa"/>
            <w:vAlign w:val="bottom"/>
          </w:tcPr>
          <w:p>
            <w:pPr>
              <w:spacing w:after="0"/>
              <w:rPr>
                <w:sz w:val="12"/>
                <w:szCs w:val="12"/>
                <w:color w:val="auto"/>
              </w:rPr>
            </w:pPr>
          </w:p>
        </w:tc>
        <w:tc>
          <w:tcPr>
            <w:tcW w:w="134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Asset Derivative</w:t>
            </w:r>
          </w:p>
        </w:tc>
        <w:tc>
          <w:tcPr>
            <w:tcW w:w="180" w:type="dxa"/>
            <w:vAlign w:val="bottom"/>
          </w:tcPr>
          <w:p>
            <w:pPr>
              <w:spacing w:after="0"/>
              <w:rPr>
                <w:sz w:val="12"/>
                <w:szCs w:val="12"/>
                <w:color w:val="auto"/>
              </w:rPr>
            </w:pPr>
          </w:p>
        </w:tc>
        <w:tc>
          <w:tcPr>
            <w:tcW w:w="15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Liability Derivative</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Maturity</w:t>
            </w:r>
          </w:p>
        </w:tc>
        <w:tc>
          <w:tcPr>
            <w:tcW w:w="11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Receive Rate</w:t>
            </w:r>
          </w:p>
        </w:tc>
        <w:tc>
          <w:tcPr>
            <w:tcW w:w="120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Pay Rate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 securities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8"/>
              </w:rPr>
              <w:t>1.2 years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amounts were recorded on the consolidated statements of financial condition related to cumulative basis adjustments for fair value hedges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Amortized Cost of Fair Value Hedging Included in the</w:t>
            </w:r>
          </w:p>
        </w:tc>
      </w:tr>
      <w:tr>
        <w:trPr>
          <w:trHeight w:val="142"/>
        </w:trPr>
        <w:tc>
          <w:tcPr>
            <w:tcW w:w="20" w:type="dxa"/>
            <w:vAlign w:val="bottom"/>
          </w:tcPr>
          <w:p>
            <w:pPr>
              <w:spacing w:after="0"/>
              <w:rPr>
                <w:sz w:val="12"/>
                <w:szCs w:val="12"/>
                <w:color w:val="auto"/>
              </w:rPr>
            </w:pPr>
          </w:p>
        </w:tc>
        <w:tc>
          <w:tcPr>
            <w:tcW w:w="43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3140" w:type="dxa"/>
            <w:vAlign w:val="bottom"/>
            <w:gridSpan w:val="5"/>
          </w:tcPr>
          <w:p>
            <w:pPr>
              <w:ind w:left="300"/>
              <w:spacing w:after="0" w:line="122" w:lineRule="exact"/>
              <w:rPr>
                <w:sz w:val="20"/>
                <w:szCs w:val="20"/>
                <w:color w:val="auto"/>
              </w:rPr>
            </w:pPr>
            <w:r>
              <w:rPr>
                <w:rFonts w:ascii="Times New Roman" w:cs="Times New Roman" w:eastAsia="Times New Roman" w:hAnsi="Times New Roman"/>
                <w:sz w:val="14"/>
                <w:szCs w:val="14"/>
                <w:color w:val="auto"/>
              </w:rPr>
              <w:t>Amortized cost of the Hedged Assets</w:t>
            </w:r>
          </w:p>
        </w:tc>
        <w:tc>
          <w:tcPr>
            <w:tcW w:w="120" w:type="dxa"/>
            <w:vAlign w:val="bottom"/>
          </w:tcPr>
          <w:p>
            <w:pPr>
              <w:spacing w:after="0"/>
              <w:rPr>
                <w:sz w:val="12"/>
                <w:szCs w:val="12"/>
                <w:color w:val="auto"/>
              </w:rPr>
            </w:pPr>
          </w:p>
        </w:tc>
        <w:tc>
          <w:tcPr>
            <w:tcW w:w="3280" w:type="dxa"/>
            <w:vAlign w:val="bottom"/>
            <w:gridSpan w:val="4"/>
          </w:tcPr>
          <w:p>
            <w:pPr>
              <w:ind w:left="460"/>
              <w:spacing w:after="0" w:line="122" w:lineRule="exact"/>
              <w:rPr>
                <w:sz w:val="20"/>
                <w:szCs w:val="20"/>
                <w:color w:val="auto"/>
              </w:rPr>
            </w:pPr>
            <w:r>
              <w:rPr>
                <w:rFonts w:ascii="Times New Roman" w:cs="Times New Roman" w:eastAsia="Times New Roman" w:hAnsi="Times New Roman"/>
                <w:sz w:val="14"/>
                <w:szCs w:val="14"/>
                <w:color w:val="auto"/>
              </w:rPr>
              <w:t>Carrying Amount of the Hedged Assets</w:t>
            </w:r>
          </w:p>
        </w:tc>
      </w:tr>
      <w:tr>
        <w:trPr>
          <w:trHeight w:val="22"/>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4"/>
                <w:szCs w:val="14"/>
                <w:color w:val="auto"/>
              </w:rPr>
              <w:t>June 30,</w:t>
            </w:r>
          </w:p>
        </w:tc>
        <w:tc>
          <w:tcPr>
            <w:tcW w:w="260" w:type="dxa"/>
            <w:vAlign w:val="bottom"/>
          </w:tcPr>
          <w:p>
            <w:pPr>
              <w:spacing w:after="0"/>
              <w:rPr>
                <w:sz w:val="11"/>
                <w:szCs w:val="11"/>
                <w:color w:val="auto"/>
              </w:rPr>
            </w:pPr>
          </w:p>
        </w:tc>
        <w:tc>
          <w:tcPr>
            <w:tcW w:w="1400" w:type="dxa"/>
            <w:vAlign w:val="bottom"/>
          </w:tcPr>
          <w:p>
            <w:pPr>
              <w:jc w:val="center"/>
              <w:ind w:right="209"/>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4"/>
                <w:szCs w:val="14"/>
                <w:color w:val="auto"/>
              </w:rPr>
              <w:t>June 30,</w:t>
            </w:r>
          </w:p>
        </w:tc>
        <w:tc>
          <w:tcPr>
            <w:tcW w:w="260" w:type="dxa"/>
            <w:vAlign w:val="bottom"/>
          </w:tcPr>
          <w:p>
            <w:pPr>
              <w:spacing w:after="0"/>
              <w:rPr>
                <w:sz w:val="11"/>
                <w:szCs w:val="11"/>
                <w:color w:val="auto"/>
              </w:rPr>
            </w:pPr>
          </w:p>
        </w:tc>
        <w:tc>
          <w:tcPr>
            <w:tcW w:w="1400" w:type="dxa"/>
            <w:vAlign w:val="bottom"/>
          </w:tcPr>
          <w:p>
            <w:pPr>
              <w:jc w:val="center"/>
              <w:ind w:right="189"/>
              <w:spacing w:after="0" w:line="135" w:lineRule="exact"/>
              <w:rPr>
                <w:sz w:val="20"/>
                <w:szCs w:val="20"/>
                <w:color w:val="auto"/>
              </w:rPr>
            </w:pPr>
            <w:r>
              <w:rPr>
                <w:rFonts w:ascii="Times New Roman" w:cs="Times New Roman" w:eastAsia="Times New Roman" w:hAnsi="Times New Roman"/>
                <w:sz w:val="14"/>
                <w:szCs w:val="14"/>
                <w:color w:val="auto"/>
                <w:w w:val="99"/>
              </w:rPr>
              <w:t>December 31,</w:t>
            </w:r>
          </w:p>
        </w:tc>
      </w:tr>
      <w:tr>
        <w:trPr>
          <w:trHeight w:val="184"/>
        </w:trPr>
        <w:tc>
          <w:tcPr>
            <w:tcW w:w="20" w:type="dxa"/>
            <w:vAlign w:val="bottom"/>
          </w:tcPr>
          <w:p>
            <w:pPr>
              <w:spacing w:after="0"/>
              <w:rPr>
                <w:sz w:val="16"/>
                <w:szCs w:val="16"/>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Line item on the consolidated statements of financial condition</w:t>
            </w:r>
          </w:p>
        </w:tc>
        <w:tc>
          <w:tcPr>
            <w:tcW w:w="340" w:type="dxa"/>
            <w:vAlign w:val="bottom"/>
          </w:tcPr>
          <w:p>
            <w:pPr>
              <w:spacing w:after="0"/>
              <w:rPr>
                <w:sz w:val="16"/>
                <w:szCs w:val="16"/>
                <w:color w:val="auto"/>
              </w:rPr>
            </w:pPr>
          </w:p>
        </w:tc>
        <w:tc>
          <w:tcPr>
            <w:tcW w:w="132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2,966,121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3,242,878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the fair value hedge relationships on the consolidated statements of operations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4"/>
          </w:tcPr>
          <w:p>
            <w:pPr>
              <w:ind w:left="68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7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29"/>
        </w:trPr>
        <w:tc>
          <w:tcPr>
            <w:tcW w:w="20" w:type="dxa"/>
            <w:vAlign w:val="bottom"/>
          </w:tcPr>
          <w:p>
            <w:pPr>
              <w:spacing w:after="0"/>
              <w:rPr>
                <w:sz w:val="11"/>
                <w:szCs w:val="11"/>
                <w:color w:val="auto"/>
              </w:rPr>
            </w:pPr>
          </w:p>
        </w:tc>
        <w:tc>
          <w:tcPr>
            <w:tcW w:w="20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32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Location of Gain (Loss)</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color w:val="auto"/>
              </w:rPr>
              <w:t>June 30, 2025</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color w:val="auto"/>
              </w:rPr>
              <w:t>June 30, 2024</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color w:val="auto"/>
              </w:rPr>
              <w:t>June 30, 2025</w:t>
            </w:r>
          </w:p>
        </w:tc>
        <w:tc>
          <w:tcPr>
            <w:tcW w:w="142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color w:val="auto"/>
              </w:rPr>
              <w:t>June 30, 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income on investment securities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1,810</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25,958</w:t>
            </w:r>
          </w:p>
        </w:tc>
      </w:tr>
      <w:tr>
        <w:trPr>
          <w:trHeight w:val="184"/>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Interest income on investment securities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(20,297)</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auto"/>
        </w:rPr>
        <w:t>Residential Real Estate Derivatives</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enters into residential real estate derivatives for commitments (“interest rate locks”) to fund certain residential real estate loans to be sold into the secondary market. At June 30, 2025 and December 31, 2024, loan commitments with interest rate lock commitments totaled $60,761,000 and $22,977,000, respectively. At June 30, 2025 and December 31, 2024, the fair value of the related derivatives on the interest rate lock commitments was $1,243,000 and $410,000, respectively, and was included in other assets with corresponding changes recorded in gain on sale of loans. The Company enters into free-standing derivatives to mitigate interest rate risk for most residential real estate loans to be sold. These derivatives include forward commitments to sell to-be-announced (“TBA”) securities which are used to economically hedge the interest rate risk associated with such loans and unfunded commitments. At June 30, 2025 and December 31, 2024, TBA commitments were $55,250,000 and $29,000,000, respectively. At June 30, 2025, the fair value of the related derivatives on the TBA securities was $559,000 and was included in other liabilities with corresponding changes recorded in gain on sale of loans. At December 31, 2024, the fair value of the related derivatives on the TBA securities was $169,000, and was included in other assets with corresponding changes recorded in gain on sale of loans. The Company does not enter into a commitment to sell these loans to an investor until the loan is funded and is ready to be delivered to the investor. Due to the forward sales commitments being short-term in nature, the corresponding derivatives are not significant.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designated in hedge relationships until the loan is funded.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10. Other Expenses</w:t>
            </w: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1"/>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expenses consists of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Three Months ended</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42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96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w w:val="98"/>
              </w:rPr>
              <w:t>June 30,</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800" w:type="dxa"/>
            <w:vAlign w:val="bottom"/>
            <w:gridSpan w:val="3"/>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and outside services</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10,012</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Debit card expenses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expenses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Mergers and acquisition expenses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7,508</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expenses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VIE amortization and other expenses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Telephone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development</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Postage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Checking and operating expenses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supplies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and audit fees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Gain on dispositions of premises and equipment</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r>
      <w:tr>
        <w:trPr>
          <w:trHeight w:val="171"/>
        </w:trPr>
        <w:tc>
          <w:tcPr>
            <w:tcW w:w="20" w:type="dxa"/>
            <w:vAlign w:val="bottom"/>
          </w:tcPr>
          <w:p>
            <w:pPr>
              <w:spacing w:after="0"/>
              <w:rPr>
                <w:sz w:val="14"/>
                <w:szCs w:val="14"/>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other expenses</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24,432</w:t>
            </w: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49,864</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11. Accumulated Other Comprehensive Loss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illustrates the activity within accumulated other comprehensive loss by component, net of tax:</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(Losses) Gains on</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(Losses) Gains 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56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9"/>
              </w:rPr>
              <w:t>Available-For-Sale and</w:t>
            </w:r>
          </w:p>
        </w:tc>
        <w:tc>
          <w:tcPr>
            <w:tcW w:w="156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Transferred Debt</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Derivatives Used for</w:t>
            </w:r>
          </w:p>
        </w:tc>
        <w:tc>
          <w:tcPr>
            <w:tcW w:w="142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7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color w:val="auto"/>
              </w:rPr>
              <w:t>Securities</w:t>
            </w:r>
          </w:p>
        </w:tc>
        <w:tc>
          <w:tcPr>
            <w:tcW w:w="15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color w:val="auto"/>
              </w:rPr>
              <w:t>Cash Flow Hedges</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2024</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(377,728)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adjustments for losses and transfers included in net income</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Reclassification adjustments for amortization included in net income for transferred securities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7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20,677</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Balance at June 30, 2024</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(357,051)</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(309,836)</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68,991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adjustments for losses and transfers included in net income</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Reclassification adjustments for amortization included in net income for transferred securities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7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71,181</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Balance at June 30, 2025</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Earnings Per Share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Basic and diluted earnings per share has been computed based on the following:</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Six Months ended</w:t>
            </w:r>
          </w:p>
        </w:tc>
        <w:tc>
          <w:tcPr>
            <w:tcW w:w="94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94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w w:val="94"/>
              </w:rPr>
              <w:t>June 30,</w:t>
            </w:r>
          </w:p>
        </w:tc>
      </w:tr>
      <w:tr>
        <w:trPr>
          <w:trHeight w:val="149"/>
        </w:trPr>
        <w:tc>
          <w:tcPr>
            <w:tcW w:w="20" w:type="dxa"/>
            <w:vAlign w:val="bottom"/>
          </w:tcPr>
          <w:p>
            <w:pPr>
              <w:spacing w:after="0"/>
              <w:rPr>
                <w:sz w:val="12"/>
                <w:szCs w:val="1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 except per share data)</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available to common stockholders, basic and diluted</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77,335</w:t>
            </w:r>
          </w:p>
        </w:tc>
      </w:tr>
      <w:tr>
        <w:trPr>
          <w:trHeight w:val="180"/>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outstanding shares - basic</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116,890,776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113,390,539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115,180,489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112,941,341</w:t>
            </w:r>
          </w:p>
        </w:tc>
      </w:tr>
      <w:tr>
        <w:trPr>
          <w:trHeight w:val="180"/>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 dilutive restricted stock units and stock options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27,514</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64,061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40,190</w:t>
            </w:r>
          </w:p>
        </w:tc>
      </w:tr>
      <w:tr>
        <w:trPr>
          <w:trHeight w:val="171"/>
        </w:trPr>
        <w:tc>
          <w:tcPr>
            <w:tcW w:w="2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outstanding shares - diluted</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116,918,290</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113,405,491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115,244,550</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112,981,531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Diluted earnings per share</w:t>
            </w: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0.93</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8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Restricted stock units and stock options excluded from the diluted average</w:t>
            </w:r>
          </w:p>
        </w:tc>
        <w:tc>
          <w:tcPr>
            <w:tcW w:w="3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840" w:type="dxa"/>
            <w:vAlign w:val="bottom"/>
            <w:tcBorders>
              <w:bottom w:val="single" w:sz="8" w:color="CCEEFF"/>
            </w:tcBorders>
            <w:gridSpan w:val="2"/>
            <w:shd w:val="clear" w:color="auto" w:fill="CCEEFF"/>
          </w:tcPr>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outstanding share calculation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145,840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136,673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109,554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5" w:lineRule="exact"/>
        <w:rPr>
          <w:sz w:val="20"/>
          <w:szCs w:val="20"/>
          <w:color w:val="auto"/>
        </w:rPr>
      </w:pPr>
    </w:p>
    <w:p>
      <w:pPr>
        <w:ind w:left="80" w:hanging="75"/>
        <w:spacing w:after="0"/>
        <w:tabs>
          <w:tab w:leader="none" w:pos="8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Anti-dilution occurs when the unrecognized compensation cost per share of a restricted stock unit or the exercise price of a stock option exceeds the market price of the Company’s stock.</w:t>
      </w:r>
    </w:p>
    <w:p>
      <w:pPr>
        <w:spacing w:after="0" w:line="200" w:lineRule="exact"/>
        <w:rPr>
          <w:rFonts w:ascii="Times New Roman" w:cs="Times New Roman" w:eastAsia="Times New Roman" w:hAnsi="Times New Roman"/>
          <w:sz w:val="17"/>
          <w:szCs w:val="17"/>
          <w:color w:val="auto"/>
          <w:vertAlign w:val="superscript"/>
        </w:rPr>
      </w:pPr>
    </w:p>
    <w:p>
      <w:pPr>
        <w:spacing w:after="0" w:line="200" w:lineRule="exact"/>
        <w:rPr>
          <w:rFonts w:ascii="Times New Roman" w:cs="Times New Roman" w:eastAsia="Times New Roman" w:hAnsi="Times New Roman"/>
          <w:sz w:val="17"/>
          <w:szCs w:val="17"/>
          <w:color w:val="auto"/>
          <w:vertAlign w:val="superscript"/>
        </w:rPr>
      </w:pPr>
    </w:p>
    <w:p>
      <w:pPr>
        <w:spacing w:after="0" w:line="311"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Note 13. Fair Value of Assets and Liabilities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1</w:t>
        <w:tab/>
        <w:t>Quoted prices in active markets for identical assets or liabilities</w:t>
      </w:r>
    </w:p>
    <w:p>
      <w:pPr>
        <w:spacing w:after="0" w:line="94" w:lineRule="exact"/>
        <w:rPr>
          <w:sz w:val="20"/>
          <w:szCs w:val="20"/>
          <w:color w:val="auto"/>
        </w:rPr>
      </w:pPr>
    </w:p>
    <w:p>
      <w:pPr>
        <w:jc w:val="both"/>
        <w:ind w:left="600" w:hanging="763"/>
        <w:spacing w:after="0" w:line="287" w:lineRule="auto"/>
        <w:tabs>
          <w:tab w:leader="none" w:pos="580" w:val="left"/>
        </w:tabs>
        <w:rPr>
          <w:sz w:val="20"/>
          <w:szCs w:val="20"/>
          <w:color w:val="auto"/>
        </w:rPr>
      </w:pPr>
      <w:r>
        <w:rPr>
          <w:rFonts w:ascii="Times New Roman" w:cs="Times New Roman" w:eastAsia="Times New Roman" w:hAnsi="Times New Roman"/>
          <w:sz w:val="14"/>
          <w:szCs w:val="14"/>
          <w:color w:val="auto"/>
        </w:rPr>
        <w:t>Level 2</w:t>
        <w:tab/>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3</w:t>
        <w:tab/>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Transfers in and out of Level 1 (quoted prices in active markets), Level 2 (significant other observable inputs) and Level 3 (significant unobservable inputs) are recognized on the actual transfer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between fair value hierarchy levels during the six month periods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Recurring Measurements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June 30, 2025.</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Debt securities, available-for-sal</w:t>
      </w:r>
      <w:r>
        <w:rPr>
          <w:rFonts w:ascii="Times New Roman" w:cs="Times New Roman" w:eastAsia="Times New Roman" w:hAnsi="Times New Roman"/>
          <w:sz w:val="14"/>
          <w:szCs w:val="14"/>
          <w:color w:val="auto"/>
        </w:rPr>
        <w:t>e. The fair value for available-for-sale debt securities is estimated by obtaining quoted market prices for identical assets, where available. If such prices are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significant inputs are not available, such securities are classified as Level 3 within the hierarchy.</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Fair value determinations of available-for-sale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Loans held for sale, at fair value. </w:t>
      </w:r>
      <w:r>
        <w:rPr>
          <w:rFonts w:ascii="Times New Roman" w:cs="Times New Roman" w:eastAsia="Times New Roman" w:hAnsi="Times New Roman"/>
          <w:sz w:val="14"/>
          <w:szCs w:val="14"/>
          <w:color w:val="auto"/>
        </w:rPr>
        <w:t>Loans held for sale measured at fair value, for which an active secondary market and readily available market prices exist, are initially valued at the transaction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gains of $480,000 and $434,000 for the six month periods ended June 30, 2025 and 2024,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spacing w:after="0" w:line="1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Loan interest rate lock commitments. </w:t>
      </w:r>
      <w:r>
        <w:rPr>
          <w:rFonts w:ascii="Times New Roman" w:cs="Times New Roman" w:eastAsia="Times New Roman" w:hAnsi="Times New Roman"/>
          <w:sz w:val="14"/>
          <w:szCs w:val="14"/>
          <w:color w:val="auto"/>
        </w:rPr>
        <w:t>Fair value estimates for loan interest rate lock commitments are based upon the estimated sales price, origination fees, direct costs, interest rate changes, etc.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obtained from an independent third party.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components of the valuation were observable or could be corroborated by observable market data and, therefore, were classified within Level 2 of the valuation hierarchy.</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Forward commitments to sell TBA securities. </w:t>
      </w:r>
      <w:r>
        <w:rPr>
          <w:rFonts w:ascii="Times New Roman" w:cs="Times New Roman" w:eastAsia="Times New Roman" w:hAnsi="Times New Roman"/>
          <w:sz w:val="14"/>
          <w:szCs w:val="14"/>
          <w:color w:val="auto"/>
        </w:rPr>
        <w:t>Forward commitments to sell TBA securities are used to economically hedge the interest rate risk associated with certain loan commitments. The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estimates for the TBA commitments are based upon the estimated sale of the TBA hedge obtained from an independent third party. The components of the valuation were observable or could be corroborated by observable market data and, therefore, were classified within Level 2 of the valuation hierarchy.</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Interest rate cap derivative financial instruments. </w:t>
      </w:r>
      <w:r>
        <w:rPr>
          <w:rFonts w:ascii="Times New Roman" w:cs="Times New Roman" w:eastAsia="Times New Roman" w:hAnsi="Times New Roman"/>
          <w:sz w:val="14"/>
          <w:szCs w:val="14"/>
          <w:color w:val="auto"/>
        </w:rPr>
        <w:t>Fair value estimates for interest rate cap derivative financial instruments are based upon the discounted cash flows of known payments plus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value of each caplet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Interest rate swap derivative financial instruments. </w:t>
      </w:r>
      <w:r>
        <w:rPr>
          <w:rFonts w:ascii="Times New Roman" w:cs="Times New Roman" w:eastAsia="Times New Roman" w:hAnsi="Times New Roman"/>
          <w:sz w:val="14"/>
          <w:szCs w:val="14"/>
          <w:color w:val="auto"/>
        </w:rPr>
        <w:t>Fair value estimates for interest rate swap derivative financial instruments are based upon the estimated amounts to settle the contracts considering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current interest rates and are calculated using discounted cash flows. The inputs used to determine fair value include the compounded overnight SOFR rate to estimate variable rate cash inflows and the overnight SOFR swap rate to estimate the discount rate. The estimated variable rate cash inflows are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disclose the fair value measurement of assets and liabilities measured at fair value on a recurring basis: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w w:val="99"/>
              </w:rPr>
              <w:t>Fair Value Measurements</w:t>
            </w: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bottom w:val="single" w:sz="8" w:color="auto"/>
            </w:tcBorders>
            <w:gridSpan w:val="5"/>
          </w:tcPr>
          <w:p>
            <w:pPr>
              <w:jc w:val="center"/>
              <w:ind w:left="1129"/>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1960" w:type="dxa"/>
            <w:vAlign w:val="bottom"/>
            <w:gridSpan w:val="3"/>
          </w:tcPr>
          <w:p>
            <w:pPr>
              <w:jc w:val="center"/>
              <w:ind w:right="460"/>
              <w:spacing w:after="0" w:line="132" w:lineRule="exact"/>
              <w:rPr>
                <w:sz w:val="20"/>
                <w:szCs w:val="20"/>
                <w:color w:val="auto"/>
              </w:rPr>
            </w:pPr>
            <w:r>
              <w:rPr>
                <w:rFonts w:ascii="Times New Roman" w:cs="Times New Roman" w:eastAsia="Times New Roman" w:hAnsi="Times New Roman"/>
                <w:sz w:val="14"/>
                <w:szCs w:val="14"/>
                <w:color w:val="auto"/>
              </w:rPr>
              <w:t>Significant</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 Active Markets</w:t>
            </w:r>
          </w:p>
        </w:tc>
        <w:tc>
          <w:tcPr>
            <w:tcW w:w="19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7"/>
              </w:rPr>
              <w:t>Fair Value</w:t>
            </w:r>
          </w:p>
        </w:tc>
        <w:tc>
          <w:tcPr>
            <w:tcW w:w="16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for Identical</w:t>
            </w:r>
          </w:p>
        </w:tc>
        <w:tc>
          <w:tcPr>
            <w:tcW w:w="196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20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Assets</w:t>
            </w:r>
          </w:p>
        </w:tc>
        <w:tc>
          <w:tcPr>
            <w:tcW w:w="196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120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8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w w:val="99"/>
              </w:rPr>
              <w:t>June 30, 2025</w:t>
            </w:r>
          </w:p>
        </w:tc>
        <w:tc>
          <w:tcPr>
            <w:tcW w:w="16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(Level 1)</w:t>
            </w:r>
          </w:p>
        </w:tc>
        <w:tc>
          <w:tcPr>
            <w:tcW w:w="196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color w:val="auto"/>
              </w:rPr>
              <w:t>(Level 2)</w:t>
            </w:r>
          </w:p>
        </w:tc>
        <w:tc>
          <w:tcPr>
            <w:tcW w:w="12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tcPr>
          <w:p>
            <w:pPr>
              <w:spacing w:after="0"/>
              <w:rPr>
                <w:sz w:val="13"/>
                <w:szCs w:val="13"/>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425,300</w:t>
            </w:r>
          </w:p>
        </w:tc>
        <w:tc>
          <w:tcPr>
            <w:tcW w:w="80" w:type="dxa"/>
            <w:vAlign w:val="bottom"/>
          </w:tcPr>
          <w:p>
            <w:pPr>
              <w:spacing w:after="0"/>
              <w:rPr>
                <w:sz w:val="15"/>
                <w:szCs w:val="15"/>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315,982</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70,704</w:t>
            </w:r>
          </w:p>
        </w:tc>
        <w:tc>
          <w:tcPr>
            <w:tcW w:w="80" w:type="dxa"/>
            <w:vAlign w:val="bottom"/>
          </w:tcPr>
          <w:p>
            <w:pPr>
              <w:spacing w:after="0"/>
              <w:rPr>
                <w:sz w:val="15"/>
                <w:szCs w:val="15"/>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14,633</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2,187,864</w:t>
            </w:r>
          </w:p>
        </w:tc>
        <w:tc>
          <w:tcPr>
            <w:tcW w:w="80" w:type="dxa"/>
            <w:vAlign w:val="bottom"/>
          </w:tcPr>
          <w:p>
            <w:pPr>
              <w:spacing w:after="0"/>
              <w:rPr>
                <w:sz w:val="15"/>
                <w:szCs w:val="15"/>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1,010,497</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47,738</w:t>
            </w:r>
          </w:p>
        </w:tc>
        <w:tc>
          <w:tcPr>
            <w:tcW w:w="80" w:type="dxa"/>
            <w:vAlign w:val="bottom"/>
          </w:tcPr>
          <w:p>
            <w:pPr>
              <w:spacing w:after="0"/>
              <w:rPr>
                <w:sz w:val="15"/>
                <w:szCs w:val="15"/>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locks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0" w:type="dxa"/>
            <w:vAlign w:val="bottom"/>
            <w:tcBorders>
              <w:right w:val="single" w:sz="8" w:color="CCEEFF"/>
            </w:tcBorders>
          </w:tcPr>
          <w:p>
            <w:pPr>
              <w:spacing w:after="0"/>
              <w:rPr>
                <w:sz w:val="10"/>
                <w:szCs w:val="10"/>
                <w:color w:val="auto"/>
              </w:rPr>
            </w:pPr>
          </w:p>
        </w:tc>
        <w:tc>
          <w:tcPr>
            <w:tcW w:w="4820" w:type="dxa"/>
            <w:vAlign w:val="bottom"/>
            <w:gridSpan w:val="2"/>
            <w:shd w:val="clear" w:color="auto" w:fill="CCEEFF"/>
          </w:tcPr>
          <w:p>
            <w:pPr>
              <w:ind w:left="500"/>
              <w:spacing w:after="0" w:line="118" w:lineRule="exact"/>
              <w:rPr>
                <w:sz w:val="20"/>
                <w:szCs w:val="20"/>
                <w:color w:val="auto"/>
              </w:rPr>
            </w:pPr>
            <w:r>
              <w:rPr>
                <w:rFonts w:ascii="Times New Roman" w:cs="Times New Roman" w:eastAsia="Times New Roman" w:hAnsi="Times New Roman"/>
                <w:sz w:val="13"/>
                <w:szCs w:val="13"/>
                <w:color w:val="auto"/>
              </w:rPr>
              <w:t>Total assets measured at fair value</w:t>
            </w: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4,078,047</w:t>
            </w:r>
          </w:p>
        </w:tc>
        <w:tc>
          <w:tcPr>
            <w:tcW w:w="80" w:type="dxa"/>
            <w:vAlign w:val="bottom"/>
            <w:shd w:val="clear" w:color="auto" w:fill="CCEEFF"/>
          </w:tcPr>
          <w:p>
            <w:pPr>
              <w:spacing w:after="0"/>
              <w:rPr>
                <w:sz w:val="10"/>
                <w:szCs w:val="10"/>
                <w:color w:val="auto"/>
              </w:rPr>
            </w:pPr>
          </w:p>
        </w:tc>
        <w:tc>
          <w:tcPr>
            <w:tcW w:w="1540" w:type="dxa"/>
            <w:vAlign w:val="bottom"/>
            <w:vMerge w:val="restart"/>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4,078,047</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Borders>
              <w:right w:val="single" w:sz="8" w:color="CCEEFF"/>
            </w:tcBorders>
          </w:tcPr>
          <w:p>
            <w:pPr>
              <w:spacing w:after="0"/>
              <w:rPr>
                <w:sz w:val="16"/>
                <w:szCs w:val="16"/>
                <w:color w:val="auto"/>
              </w:rPr>
            </w:pPr>
          </w:p>
        </w:tc>
        <w:tc>
          <w:tcPr>
            <w:tcW w:w="4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on a recurring basis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TBA hedge</w:t>
            </w: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4820" w:type="dxa"/>
            <w:vAlign w:val="bottom"/>
            <w:tcBorders>
              <w:bottom w:val="single" w:sz="8" w:color="CCEEFF"/>
            </w:tcBorders>
            <w:gridSpan w:val="2"/>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559</w:t>
            </w:r>
          </w:p>
        </w:tc>
        <w:tc>
          <w:tcPr>
            <w:tcW w:w="8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tcPr>
          <w:p>
            <w:pPr>
              <w:ind w:left="13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559</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9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48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 measured at fair value on a recurring basis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44</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w w:val="99"/>
              </w:rPr>
              <w:t>Fair Value Measurements</w:t>
            </w:r>
          </w:p>
        </w:tc>
        <w:tc>
          <w:tcPr>
            <w:tcW w:w="1180" w:type="dxa"/>
            <w:vAlign w:val="bottom"/>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1180" w:type="dxa"/>
            <w:vAlign w:val="bottom"/>
            <w:tcBorders>
              <w:bottom w:val="single" w:sz="8" w:color="auto"/>
            </w:tcBorders>
          </w:tcPr>
          <w:p>
            <w:pPr>
              <w:spacing w:after="0"/>
              <w:rPr>
                <w:sz w:val="16"/>
                <w:szCs w:val="16"/>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left="17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3"/>
          </w:tcPr>
          <w:p>
            <w:pPr>
              <w:jc w:val="center"/>
              <w:ind w:right="460"/>
              <w:spacing w:after="0" w:line="132" w:lineRule="exact"/>
              <w:rPr>
                <w:sz w:val="20"/>
                <w:szCs w:val="20"/>
                <w:color w:val="auto"/>
              </w:rPr>
            </w:pPr>
            <w:r>
              <w:rPr>
                <w:rFonts w:ascii="Times New Roman" w:cs="Times New Roman" w:eastAsia="Times New Roman" w:hAnsi="Times New Roman"/>
                <w:sz w:val="14"/>
                <w:szCs w:val="14"/>
                <w:color w:val="auto"/>
              </w:rPr>
              <w:t>Significant</w:t>
            </w:r>
          </w:p>
        </w:tc>
        <w:tc>
          <w:tcPr>
            <w:tcW w:w="11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150"/>
              <w:spacing w:after="0" w:line="149" w:lineRule="exact"/>
              <w:rPr>
                <w:sz w:val="20"/>
                <w:szCs w:val="20"/>
                <w:color w:val="auto"/>
              </w:rPr>
            </w:pPr>
            <w:r>
              <w:rPr>
                <w:rFonts w:ascii="Times New Roman" w:cs="Times New Roman" w:eastAsia="Times New Roman" w:hAnsi="Times New Roman"/>
                <w:sz w:val="14"/>
                <w:szCs w:val="14"/>
                <w:color w:val="auto"/>
              </w:rPr>
              <w:t>in Active Markets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80" w:type="dxa"/>
            <w:vAlign w:val="bottom"/>
          </w:tcPr>
          <w:p>
            <w:pPr>
              <w:jc w:val="center"/>
              <w:ind w:right="290"/>
              <w:spacing w:after="0" w:line="149" w:lineRule="exact"/>
              <w:rPr>
                <w:sz w:val="20"/>
                <w:szCs w:val="20"/>
                <w:color w:val="auto"/>
              </w:rPr>
            </w:pPr>
            <w:r>
              <w:rPr>
                <w:rFonts w:ascii="Times New Roman" w:cs="Times New Roman" w:eastAsia="Times New Roman" w:hAnsi="Times New Roman"/>
                <w:sz w:val="14"/>
                <w:szCs w:val="14"/>
                <w:color w:val="auto"/>
              </w:rPr>
              <w:t>Significant</w:t>
            </w: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left="150"/>
              <w:spacing w:after="0" w:line="138" w:lineRule="exact"/>
              <w:rPr>
                <w:sz w:val="20"/>
                <w:szCs w:val="20"/>
                <w:color w:val="auto"/>
              </w:rPr>
            </w:pPr>
            <w:r>
              <w:rPr>
                <w:rFonts w:ascii="Times New Roman" w:cs="Times New Roman" w:eastAsia="Times New Roman" w:hAnsi="Times New Roman"/>
                <w:sz w:val="14"/>
                <w:szCs w:val="14"/>
                <w:color w:val="auto"/>
              </w:rPr>
              <w:t>for Identical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180" w:type="dxa"/>
            <w:vAlign w:val="bottom"/>
          </w:tcPr>
          <w:p>
            <w:pPr>
              <w:jc w:val="center"/>
              <w:ind w:right="270"/>
              <w:spacing w:after="0" w:line="138" w:lineRule="exact"/>
              <w:rPr>
                <w:sz w:val="20"/>
                <w:szCs w:val="20"/>
                <w:color w:val="auto"/>
              </w:rPr>
            </w:pPr>
            <w:r>
              <w:rPr>
                <w:rFonts w:ascii="Times New Roman" w:cs="Times New Roman" w:eastAsia="Times New Roman" w:hAnsi="Times New Roman"/>
                <w:sz w:val="14"/>
                <w:szCs w:val="14"/>
                <w:color w:val="auto"/>
              </w:rPr>
              <w:t>Unobservable</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Fair Value December 31,</w:t>
            </w:r>
          </w:p>
        </w:tc>
        <w:tc>
          <w:tcPr>
            <w:tcW w:w="1320" w:type="dxa"/>
            <w:vAlign w:val="bottom"/>
          </w:tcPr>
          <w:p>
            <w:pPr>
              <w:jc w:val="center"/>
              <w:ind w:left="15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180" w:type="dxa"/>
            <w:vAlign w:val="bottom"/>
          </w:tcPr>
          <w:p>
            <w:pPr>
              <w:jc w:val="center"/>
              <w:ind w:right="270"/>
              <w:spacing w:after="0" w:line="149" w:lineRule="exact"/>
              <w:rPr>
                <w:sz w:val="20"/>
                <w:szCs w:val="20"/>
                <w:color w:val="auto"/>
              </w:rPr>
            </w:pPr>
            <w:r>
              <w:rPr>
                <w:rFonts w:ascii="Times New Roman" w:cs="Times New Roman" w:eastAsia="Times New Roman" w:hAnsi="Times New Roman"/>
                <w:sz w:val="14"/>
                <w:szCs w:val="14"/>
                <w:color w:val="auto"/>
              </w:rPr>
              <w:t>Inputs</w:t>
            </w:r>
          </w:p>
        </w:tc>
      </w:tr>
      <w:tr>
        <w:trPr>
          <w:trHeight w:val="138"/>
        </w:trPr>
        <w:tc>
          <w:tcPr>
            <w:tcW w:w="20" w:type="dxa"/>
            <w:vAlign w:val="bottom"/>
          </w:tcPr>
          <w:p>
            <w:pPr>
              <w:spacing w:after="0"/>
              <w:rPr>
                <w:sz w:val="11"/>
                <w:szCs w:val="11"/>
                <w:color w:val="auto"/>
              </w:rPr>
            </w:pPr>
          </w:p>
        </w:tc>
        <w:tc>
          <w:tcPr>
            <w:tcW w:w="48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left="170"/>
              <w:spacing w:after="0" w:line="118" w:lineRule="exact"/>
              <w:rPr>
                <w:sz w:val="20"/>
                <w:szCs w:val="20"/>
                <w:color w:val="auto"/>
              </w:rPr>
            </w:pPr>
            <w:r>
              <w:rPr>
                <w:rFonts w:ascii="Times New Roman" w:cs="Times New Roman" w:eastAsia="Times New Roman" w:hAnsi="Times New Roman"/>
                <w:sz w:val="13"/>
                <w:szCs w:val="13"/>
                <w:color w:val="auto"/>
              </w:rPr>
              <w:t>(Level 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color w:val="auto"/>
              </w:rPr>
              <w:t>(Level 2)</w:t>
            </w:r>
          </w:p>
        </w:tc>
        <w:tc>
          <w:tcPr>
            <w:tcW w:w="1180" w:type="dxa"/>
            <w:vAlign w:val="bottom"/>
          </w:tcPr>
          <w:p>
            <w:pPr>
              <w:jc w:val="center"/>
              <w:ind w:right="270"/>
              <w:spacing w:after="0" w:line="118" w:lineRule="exact"/>
              <w:rPr>
                <w:sz w:val="20"/>
                <w:szCs w:val="20"/>
                <w:color w:val="auto"/>
              </w:rPr>
            </w:pPr>
            <w:r>
              <w:rPr>
                <w:rFonts w:ascii="Times New Roman" w:cs="Times New Roman" w:eastAsia="Times New Roman" w:hAnsi="Times New Roman"/>
                <w:sz w:val="13"/>
                <w:szCs w:val="13"/>
                <w:color w:val="auto"/>
              </w:rPr>
              <w:t>(Level 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468,433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2,355,516</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2,355,516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1,027,919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caps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locks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TBA hedge</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 measured at fair value on a recurring basis</w:t>
            </w:r>
          </w:p>
        </w:tc>
        <w:tc>
          <w:tcPr>
            <w:tcW w:w="900" w:type="dxa"/>
            <w:vAlign w:val="bottom"/>
            <w:tcBorders>
              <w:top w:val="single" w:sz="8" w:color="auto"/>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4,288,851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4,288,851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Non-recurring Measurements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June 30, 2025.</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real estate owned. </w:t>
      </w:r>
      <w:r>
        <w:rPr>
          <w:rFonts w:ascii="Times New Roman" w:cs="Times New Roman" w:eastAsia="Times New Roman" w:hAnsi="Times New Roman"/>
          <w:sz w:val="14"/>
          <w:szCs w:val="14"/>
          <w:color w:val="auto"/>
        </w:rPr>
        <w:t>OREO is initially recorded at fair value less estimated cost to sell, establishing a new cost basis. OREO is subsequently accounted for at lower of cost or fair value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estimated cost to sell. Estimated fair value of OREO is based on appraisals or evaluations (new or updated). OREO is classified within Level 3 of the fair value hierarchy.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Collateral-dependent loans, net of ACL. </w:t>
      </w:r>
      <w:r>
        <w:rPr>
          <w:rFonts w:ascii="Times New Roman" w:cs="Times New Roman" w:eastAsia="Times New Roman" w:hAnsi="Times New Roman"/>
          <w:sz w:val="14"/>
          <w:szCs w:val="14"/>
          <w:color w:val="auto"/>
        </w:rPr>
        <w:t>Fair value estimates of collateral-dependent loans that are individually reviewed are based on the fair value of the collateral, less estimated cost to sell.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Collateral-dependent individually reviewed loans are classified within Level 3 of the fair value hierarchy.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The following tables disclose the fair value measurement of assets with a recorded change during the period resulting from re-measuring the assets at fair value on a non-recurring basis:</w:t>
      </w:r>
    </w:p>
    <w:p>
      <w:pPr>
        <w:spacing w:after="0" w:line="34"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color w:val="auto"/>
        </w:rPr>
        <w:t>Fair Value Measurements</w:t>
      </w:r>
    </w:p>
    <w:p>
      <w:pPr>
        <w:jc w:val="center"/>
        <w:ind w:left="6440"/>
        <w:spacing w:after="0"/>
        <w:rPr>
          <w:sz w:val="20"/>
          <w:szCs w:val="20"/>
          <w:color w:val="auto"/>
        </w:rPr>
      </w:pPr>
      <w:r>
        <w:rPr>
          <w:rFonts w:ascii="Times New Roman" w:cs="Times New Roman" w:eastAsia="Times New Roman" w:hAnsi="Times New Roman"/>
          <w:sz w:val="14"/>
          <w:szCs w:val="14"/>
          <w:color w:val="auto"/>
        </w:rPr>
        <w:t>At the End of the Reporting Period Using</w:t>
      </w:r>
    </w:p>
    <w:p>
      <w:pPr>
        <w:sectPr>
          <w:pgSz w:w="11900" w:h="16838" w:orient="portrait"/>
          <w:cols w:equalWidth="0" w:num="1">
            <w:col w:w="11280"/>
          </w:cols>
          <w:pgMar w:left="300" w:top="8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u w:val="single" w:color="auto"/>
          <w:color w:val="auto"/>
        </w:rPr>
        <w:t>(Dollars in thousands)</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Collateral-dependent impaired loans, net of ACL</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 assets measured at fair value</w:t>
      </w:r>
    </w:p>
    <w:p>
      <w:pPr>
        <w:ind w:left="360"/>
        <w:spacing w:after="0"/>
        <w:rPr>
          <w:sz w:val="20"/>
          <w:szCs w:val="20"/>
          <w:color w:val="auto"/>
        </w:rPr>
      </w:pPr>
      <w:r>
        <w:rPr>
          <w:rFonts w:ascii="Times New Roman" w:cs="Times New Roman" w:eastAsia="Times New Roman" w:hAnsi="Times New Roman"/>
          <w:sz w:val="14"/>
          <w:szCs w:val="14"/>
          <w:color w:val="auto"/>
        </w:rPr>
        <w:t>on a non-recurring basis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tcPr>
          <w:p>
            <w:pPr>
              <w:jc w:val="center"/>
              <w:ind w:left="169"/>
              <w:spacing w:after="0" w:line="140" w:lineRule="exact"/>
              <w:rPr>
                <w:sz w:val="20"/>
                <w:szCs w:val="20"/>
                <w:color w:val="auto"/>
              </w:rPr>
            </w:pPr>
            <w:r>
              <w:rPr>
                <w:rFonts w:ascii="Times New Roman" w:cs="Times New Roman" w:eastAsia="Times New Roman" w:hAnsi="Times New Roman"/>
                <w:sz w:val="14"/>
                <w:szCs w:val="14"/>
                <w:color w:val="auto"/>
              </w:rPr>
              <w:t>Quoted Prices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color w:val="auto"/>
              </w:rPr>
              <w:t>Significant</w:t>
            </w:r>
          </w:p>
        </w:tc>
        <w:tc>
          <w:tcPr>
            <w:tcW w:w="1520" w:type="dxa"/>
            <w:vAlign w:val="bottom"/>
            <w:tcBorders>
              <w:top w:val="single" w:sz="8" w:color="auto"/>
            </w:tcBorders>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in Active Markets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w:t>
            </w:r>
          </w:p>
        </w:tc>
      </w:tr>
      <w:tr>
        <w:trPr>
          <w:trHeight w:val="138"/>
        </w:trPr>
        <w:tc>
          <w:tcPr>
            <w:tcW w:w="1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left="149"/>
              <w:spacing w:after="0" w:line="138" w:lineRule="exact"/>
              <w:rPr>
                <w:sz w:val="20"/>
                <w:szCs w:val="20"/>
                <w:color w:val="auto"/>
              </w:rPr>
            </w:pPr>
            <w:r>
              <w:rPr>
                <w:rFonts w:ascii="Times New Roman" w:cs="Times New Roman" w:eastAsia="Times New Roman" w:hAnsi="Times New Roman"/>
                <w:sz w:val="14"/>
                <w:szCs w:val="14"/>
                <w:color w:val="auto"/>
              </w:rPr>
              <w:t>for Identical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Unobservable</w:t>
            </w:r>
          </w:p>
        </w:tc>
      </w:tr>
      <w:tr>
        <w:trPr>
          <w:trHeight w:val="149"/>
        </w:trPr>
        <w:tc>
          <w:tcPr>
            <w:tcW w:w="1220" w:type="dxa"/>
            <w:vAlign w:val="bottom"/>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Inputs</w:t>
            </w:r>
          </w:p>
        </w:tc>
      </w:tr>
      <w:tr>
        <w:trPr>
          <w:trHeight w:val="180"/>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3)</w:t>
            </w:r>
          </w:p>
        </w:tc>
      </w:tr>
      <w:tr>
        <w:trPr>
          <w:trHeight w:val="171"/>
        </w:trPr>
        <w:tc>
          <w:tcPr>
            <w:tcW w:w="1220" w:type="dxa"/>
            <w:vAlign w:val="bottom"/>
            <w:tcBorders>
              <w:top w:val="single" w:sz="8" w:color="auto"/>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52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287"/>
        </w:trPr>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-342900</wp:posOffset>
            </wp:positionV>
            <wp:extent cx="7134860" cy="121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255" w:lineRule="exact"/>
        <w:rPr>
          <w:sz w:val="20"/>
          <w:szCs w:val="20"/>
          <w:color w:val="auto"/>
        </w:rPr>
      </w:pPr>
    </w:p>
    <w:p>
      <w:pPr>
        <w:jc w:val="center"/>
        <w:ind w:left="-1279"/>
        <w:spacing w:after="0"/>
        <w:rPr>
          <w:sz w:val="20"/>
          <w:szCs w:val="20"/>
          <w:color w:val="auto"/>
        </w:rPr>
      </w:pPr>
      <w:r>
        <w:rPr>
          <w:rFonts w:ascii="Times New Roman" w:cs="Times New Roman" w:eastAsia="Times New Roman" w:hAnsi="Times New Roman"/>
          <w:sz w:val="14"/>
          <w:szCs w:val="14"/>
          <w:color w:val="auto"/>
        </w:rPr>
        <w:t>Fair Value Measurements</w:t>
      </w:r>
    </w:p>
    <w:p>
      <w:pPr>
        <w:jc w:val="center"/>
        <w:ind w:left="-1279"/>
        <w:spacing w:after="0"/>
        <w:rPr>
          <w:sz w:val="20"/>
          <w:szCs w:val="20"/>
          <w:color w:val="auto"/>
        </w:rPr>
      </w:pPr>
      <w:r>
        <w:rPr>
          <w:rFonts w:ascii="Times New Roman" w:cs="Times New Roman" w:eastAsia="Times New Roman" w:hAnsi="Times New Roman"/>
          <w:sz w:val="14"/>
          <w:szCs w:val="14"/>
          <w:color w:val="auto"/>
        </w:rPr>
        <w:t>At the End of the Reporting Period Using</w:t>
      </w:r>
    </w:p>
    <w:p>
      <w:pPr>
        <w:spacing w:after="0" w:line="7" w:lineRule="exact"/>
        <w:rPr>
          <w:sz w:val="20"/>
          <w:szCs w:val="20"/>
          <w:color w:val="auto"/>
        </w:rPr>
      </w:pPr>
    </w:p>
    <w:p>
      <w:pPr>
        <w:sectPr>
          <w:pgSz w:w="11900" w:h="16838" w:orient="portrait"/>
          <w:cols w:equalWidth="0" w:num="2">
            <w:col w:w="4140" w:space="720"/>
            <w:col w:w="6420"/>
          </w:cols>
          <w:pgMar w:left="300" w:top="8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u w:val="single" w:color="auto"/>
          <w:color w:val="auto"/>
        </w:rPr>
        <w:t>(Dollars in thousands)</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Collateral-dependent impaired loans, net of ACL</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 assets measured at fair value</w:t>
      </w:r>
    </w:p>
    <w:p>
      <w:pPr>
        <w:ind w:left="360"/>
        <w:spacing w:after="0"/>
        <w:rPr>
          <w:sz w:val="20"/>
          <w:szCs w:val="20"/>
          <w:color w:val="auto"/>
        </w:rPr>
      </w:pPr>
      <w:r>
        <w:rPr>
          <w:rFonts w:ascii="Times New Roman" w:cs="Times New Roman" w:eastAsia="Times New Roman" w:hAnsi="Times New Roman"/>
          <w:sz w:val="14"/>
          <w:szCs w:val="14"/>
          <w:color w:val="auto"/>
        </w:rPr>
        <w:t>on a non-recurring basis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Non-recurring Measurements Using Significant Unobservable Inputs (Level 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tcPr>
          <w:p>
            <w:pPr>
              <w:jc w:val="center"/>
              <w:ind w:left="169"/>
              <w:spacing w:after="0" w:line="140" w:lineRule="exact"/>
              <w:rPr>
                <w:sz w:val="20"/>
                <w:szCs w:val="20"/>
                <w:color w:val="auto"/>
              </w:rPr>
            </w:pPr>
            <w:r>
              <w:rPr>
                <w:rFonts w:ascii="Times New Roman" w:cs="Times New Roman" w:eastAsia="Times New Roman" w:hAnsi="Times New Roman"/>
                <w:sz w:val="14"/>
                <w:szCs w:val="14"/>
                <w:color w:val="auto"/>
              </w:rPr>
              <w:t>Quoted Prices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left="229"/>
              <w:spacing w:after="0" w:line="140" w:lineRule="exact"/>
              <w:rPr>
                <w:sz w:val="20"/>
                <w:szCs w:val="20"/>
                <w:color w:val="auto"/>
              </w:rPr>
            </w:pPr>
            <w:r>
              <w:rPr>
                <w:rFonts w:ascii="Times New Roman" w:cs="Times New Roman" w:eastAsia="Times New Roman" w:hAnsi="Times New Roman"/>
                <w:sz w:val="14"/>
                <w:szCs w:val="14"/>
                <w:color w:val="auto"/>
              </w:rPr>
              <w:t>Significant</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in Active Markets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left="249"/>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1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Fair Value December 31,</w:t>
            </w:r>
          </w:p>
        </w:tc>
        <w:tc>
          <w:tcPr>
            <w:tcW w:w="1320" w:type="dxa"/>
            <w:vAlign w:val="bottom"/>
          </w:tcPr>
          <w:p>
            <w:pPr>
              <w:jc w:val="center"/>
              <w:ind w:left="149"/>
              <w:spacing w:after="0" w:line="138" w:lineRule="exact"/>
              <w:rPr>
                <w:sz w:val="20"/>
                <w:szCs w:val="20"/>
                <w:color w:val="auto"/>
              </w:rPr>
            </w:pPr>
            <w:r>
              <w:rPr>
                <w:rFonts w:ascii="Times New Roman" w:cs="Times New Roman" w:eastAsia="Times New Roman" w:hAnsi="Times New Roman"/>
                <w:sz w:val="14"/>
                <w:szCs w:val="14"/>
                <w:color w:val="auto"/>
              </w:rPr>
              <w:t>for Identical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49"/>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38"/>
        </w:trPr>
        <w:tc>
          <w:tcPr>
            <w:tcW w:w="1620" w:type="dxa"/>
            <w:vAlign w:val="bottom"/>
            <w:gridSpan w:val="3"/>
            <w:vMerge w:val="continue"/>
          </w:tcPr>
          <w:p>
            <w:pPr>
              <w:spacing w:after="0"/>
              <w:rPr>
                <w:sz w:val="11"/>
                <w:szCs w:val="11"/>
                <w:color w:val="auto"/>
              </w:rPr>
            </w:pPr>
          </w:p>
        </w:tc>
        <w:tc>
          <w:tcPr>
            <w:tcW w:w="1320" w:type="dxa"/>
            <w:vAlign w:val="bottom"/>
          </w:tcPr>
          <w:p>
            <w:pPr>
              <w:jc w:val="center"/>
              <w:ind w:left="149"/>
              <w:spacing w:after="0" w:line="138" w:lineRule="exact"/>
              <w:rPr>
                <w:sz w:val="20"/>
                <w:szCs w:val="20"/>
                <w:color w:val="auto"/>
              </w:rPr>
            </w:pPr>
            <w:r>
              <w:rPr>
                <w:rFonts w:ascii="Times New Roman" w:cs="Times New Roman" w:eastAsia="Times New Roman" w:hAnsi="Times New Roman"/>
                <w:sz w:val="14"/>
                <w:szCs w:val="14"/>
                <w:color w:val="auto"/>
              </w:rPr>
              <w:t>Assets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49"/>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91"/>
        </w:trPr>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rPr>
              <w:t>(Level 1)</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0" w:type="dxa"/>
            <w:vAlign w:val="bottom"/>
          </w:tcPr>
          <w:p>
            <w:pPr>
              <w:spacing w:after="0"/>
              <w:rPr>
                <w:sz w:val="1"/>
                <w:szCs w:val="1"/>
                <w:color w:val="auto"/>
              </w:rPr>
            </w:pPr>
          </w:p>
        </w:tc>
      </w:tr>
      <w:tr>
        <w:trPr>
          <w:trHeight w:val="287"/>
        </w:trPr>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-342900</wp:posOffset>
            </wp:positionV>
            <wp:extent cx="7134860"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4460" w:space="400"/>
            <w:col w:w="6420"/>
          </w:cols>
          <w:pgMar w:left="300" w:top="825" w:right="31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4"/>
          <w:szCs w:val="14"/>
          <w:color w:val="auto"/>
        </w:rPr>
        <w:t>The following tables present additional quantitative information about assets measured at fair value on a non-recurring basis and for which the Company has utilized Level 3 inputs to determine fair value:</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gridSpan w:val="5"/>
          </w:tcPr>
          <w:p>
            <w:pPr>
              <w:jc w:val="right"/>
              <w:ind w:right="1893"/>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r>
      <w:tr>
        <w:trPr>
          <w:trHeight w:val="175"/>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jc w:val="right"/>
              <w:ind w:right="913"/>
              <w:spacing w:after="0"/>
              <w:rPr>
                <w:sz w:val="20"/>
                <w:szCs w:val="20"/>
                <w:color w:val="auto"/>
              </w:rPr>
            </w:pPr>
            <w:r>
              <w:rPr>
                <w:rFonts w:ascii="Times New Roman" w:cs="Times New Roman" w:eastAsia="Times New Roman" w:hAnsi="Times New Roman"/>
                <w:sz w:val="14"/>
                <w:szCs w:val="14"/>
                <w:color w:val="auto"/>
              </w:rPr>
              <w:t>Range</w:t>
            </w:r>
          </w:p>
        </w:tc>
      </w:tr>
      <w:tr>
        <w:trPr>
          <w:trHeight w:val="145"/>
        </w:trPr>
        <w:tc>
          <w:tcPr>
            <w:tcW w:w="210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249"/>
              <w:spacing w:after="0" w:line="125" w:lineRule="exact"/>
              <w:rPr>
                <w:sz w:val="20"/>
                <w:szCs w:val="20"/>
                <w:color w:val="auto"/>
              </w:rPr>
            </w:pPr>
            <w:r>
              <w:rPr>
                <w:rFonts w:ascii="Times New Roman" w:cs="Times New Roman" w:eastAsia="Times New Roman" w:hAnsi="Times New Roman"/>
                <w:sz w:val="14"/>
                <w:szCs w:val="14"/>
                <w:color w:val="auto"/>
              </w:rPr>
              <w:t>June 30, 2025</w:t>
            </w:r>
          </w:p>
        </w:tc>
        <w:tc>
          <w:tcPr>
            <w:tcW w:w="100" w:type="dxa"/>
            <w:vAlign w:val="bottom"/>
          </w:tcPr>
          <w:p>
            <w:pPr>
              <w:spacing w:after="0"/>
              <w:rPr>
                <w:sz w:val="12"/>
                <w:szCs w:val="12"/>
                <w:color w:val="auto"/>
              </w:rPr>
            </w:pPr>
          </w:p>
        </w:tc>
        <w:tc>
          <w:tcPr>
            <w:tcW w:w="1900" w:type="dxa"/>
            <w:vAlign w:val="bottom"/>
          </w:tcPr>
          <w:p>
            <w:pPr>
              <w:ind w:left="700"/>
              <w:spacing w:after="0" w:line="125" w:lineRule="exact"/>
              <w:rPr>
                <w:sz w:val="20"/>
                <w:szCs w:val="20"/>
                <w:color w:val="auto"/>
              </w:rPr>
            </w:pPr>
            <w:r>
              <w:rPr>
                <w:rFonts w:ascii="Times New Roman" w:cs="Times New Roman" w:eastAsia="Times New Roman" w:hAnsi="Times New Roman"/>
                <w:sz w:val="14"/>
                <w:szCs w:val="14"/>
                <w:color w:val="auto"/>
              </w:rPr>
              <w:t>Valuation Technique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2"/>
          </w:tcPr>
          <w:p>
            <w:pPr>
              <w:ind w:left="720"/>
              <w:spacing w:after="0" w:line="125" w:lineRule="exact"/>
              <w:rPr>
                <w:sz w:val="20"/>
                <w:szCs w:val="20"/>
                <w:color w:val="auto"/>
              </w:rPr>
            </w:pPr>
            <w:r>
              <w:rPr>
                <w:rFonts w:ascii="Times New Roman" w:cs="Times New Roman" w:eastAsia="Times New Roman" w:hAnsi="Times New Roman"/>
                <w:sz w:val="14"/>
                <w:szCs w:val="14"/>
                <w:color w:val="auto"/>
              </w:rPr>
              <w:t>Unobservable Input</w:t>
            </w:r>
          </w:p>
        </w:tc>
        <w:tc>
          <w:tcPr>
            <w:tcW w:w="2340" w:type="dxa"/>
            <w:vAlign w:val="bottom"/>
          </w:tcPr>
          <w:p>
            <w:pPr>
              <w:jc w:val="right"/>
              <w:ind w:right="493"/>
              <w:spacing w:after="0" w:line="125" w:lineRule="exact"/>
              <w:rPr>
                <w:sz w:val="20"/>
                <w:szCs w:val="20"/>
                <w:color w:val="auto"/>
              </w:rPr>
            </w:pPr>
            <w:r>
              <w:rPr>
                <w:rFonts w:ascii="Times New Roman" w:cs="Times New Roman" w:eastAsia="Times New Roman" w:hAnsi="Times New Roman"/>
                <w:sz w:val="11"/>
                <w:szCs w:val="11"/>
                <w:color w:val="auto"/>
              </w:rPr>
              <w:t xml:space="preserve">(Weighted-Average) </w:t>
            </w:r>
            <w:r>
              <w:rPr>
                <w:rFonts w:ascii="Times New Roman" w:cs="Times New Roman" w:eastAsia="Times New Roman" w:hAnsi="Times New Roman"/>
                <w:sz w:val="14"/>
                <w:szCs w:val="14"/>
                <w:color w:val="auto"/>
                <w:vertAlign w:val="superscript"/>
              </w:rPr>
              <w:t>1</w:t>
            </w:r>
          </w:p>
        </w:tc>
      </w:tr>
      <w:tr>
        <w:trPr>
          <w:trHeight w:val="22"/>
        </w:trPr>
        <w:tc>
          <w:tcPr>
            <w:tcW w:w="102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124"/>
        </w:trPr>
        <w:tc>
          <w:tcPr>
            <w:tcW w:w="210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Collateral-dependent</w:t>
            </w: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10"/>
                <w:szCs w:val="10"/>
                <w:color w:val="auto"/>
              </w:rPr>
            </w:pPr>
          </w:p>
        </w:tc>
      </w:tr>
      <w:tr>
        <w:trPr>
          <w:trHeight w:val="184"/>
        </w:trPr>
        <w:tc>
          <w:tcPr>
            <w:tcW w:w="2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impaired loans, net of ACL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approach</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34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10.0% - 20.0% (11.6%)</w:t>
            </w:r>
          </w:p>
        </w:tc>
      </w:tr>
      <w:tr>
        <w:trPr>
          <w:trHeight w:val="180"/>
        </w:trPr>
        <w:tc>
          <w:tcPr>
            <w:tcW w:w="10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comparison approach</w:t>
            </w: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340" w:type="dxa"/>
            <w:vAlign w:val="bottom"/>
            <w:tcBorders>
              <w:bottom w:val="single" w:sz="8" w:color="CCEEFF"/>
            </w:tcBorders>
          </w:tcPr>
          <w:p>
            <w:pPr>
              <w:jc w:val="right"/>
              <w:ind w:right="913"/>
              <w:spacing w:after="0"/>
              <w:rPr>
                <w:sz w:val="20"/>
                <w:szCs w:val="20"/>
                <w:color w:val="auto"/>
              </w:rPr>
            </w:pPr>
            <w:r>
              <w:rPr>
                <w:rFonts w:ascii="Times New Roman" w:cs="Times New Roman" w:eastAsia="Times New Roman" w:hAnsi="Times New Roman"/>
                <w:sz w:val="14"/>
                <w:szCs w:val="14"/>
                <w:color w:val="auto"/>
              </w:rPr>
              <w:t>10.0% - 20.0% (13.3%)</w:t>
            </w:r>
          </w:p>
        </w:tc>
      </w:tr>
      <w:tr>
        <w:trPr>
          <w:trHeight w:val="196"/>
        </w:trPr>
        <w:tc>
          <w:tcPr>
            <w:tcW w:w="10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spacing w:after="0"/>
              <w:rPr>
                <w:sz w:val="16"/>
                <w:szCs w:val="16"/>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type w:val="continuous"/>
        </w:sectPr>
      </w:pPr>
    </w:p>
    <w:bookmarkStart w:id="46" w:name="page47"/>
    <w:bookmarkEnd w:id="46"/>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gridSpan w:val="5"/>
          </w:tcPr>
          <w:p>
            <w:pPr>
              <w:jc w:val="right"/>
              <w:ind w:right="1892"/>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r>
      <w:tr>
        <w:trPr>
          <w:trHeight w:val="129"/>
        </w:trPr>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w w:val="98"/>
              </w:rPr>
              <w:t>Fair Value December 31,</w:t>
            </w: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Pr>
          <w:p>
            <w:pPr>
              <w:jc w:val="right"/>
              <w:ind w:right="912"/>
              <w:spacing w:after="0" w:line="129" w:lineRule="exact"/>
              <w:rPr>
                <w:sz w:val="20"/>
                <w:szCs w:val="20"/>
                <w:color w:val="auto"/>
              </w:rPr>
            </w:pPr>
            <w:r>
              <w:rPr>
                <w:rFonts w:ascii="Times New Roman" w:cs="Times New Roman" w:eastAsia="Times New Roman" w:hAnsi="Times New Roman"/>
                <w:sz w:val="14"/>
                <w:szCs w:val="14"/>
                <w:color w:val="auto"/>
              </w:rPr>
              <w:t>Range</w:t>
            </w:r>
          </w:p>
        </w:tc>
      </w:tr>
      <w:tr>
        <w:trPr>
          <w:trHeight w:val="149"/>
        </w:trPr>
        <w:tc>
          <w:tcPr>
            <w:tcW w:w="2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10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900" w:type="dxa"/>
            <w:vAlign w:val="bottom"/>
          </w:tcPr>
          <w:p>
            <w:pPr>
              <w:ind w:left="700"/>
              <w:spacing w:after="0" w:line="129" w:lineRule="exact"/>
              <w:rPr>
                <w:sz w:val="20"/>
                <w:szCs w:val="20"/>
                <w:color w:val="auto"/>
              </w:rPr>
            </w:pPr>
            <w:r>
              <w:rPr>
                <w:rFonts w:ascii="Times New Roman" w:cs="Times New Roman" w:eastAsia="Times New Roman" w:hAnsi="Times New Roman"/>
                <w:sz w:val="14"/>
                <w:szCs w:val="14"/>
                <w:color w:val="auto"/>
              </w:rPr>
              <w:t>Valuation Technique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2"/>
          </w:tcPr>
          <w:p>
            <w:pPr>
              <w:ind w:left="720"/>
              <w:spacing w:after="0" w:line="129" w:lineRule="exact"/>
              <w:rPr>
                <w:sz w:val="20"/>
                <w:szCs w:val="20"/>
                <w:color w:val="auto"/>
              </w:rPr>
            </w:pPr>
            <w:r>
              <w:rPr>
                <w:rFonts w:ascii="Times New Roman" w:cs="Times New Roman" w:eastAsia="Times New Roman" w:hAnsi="Times New Roman"/>
                <w:sz w:val="14"/>
                <w:szCs w:val="14"/>
                <w:color w:val="auto"/>
              </w:rPr>
              <w:t>Unobservable Input</w:t>
            </w:r>
          </w:p>
        </w:tc>
        <w:tc>
          <w:tcPr>
            <w:tcW w:w="2340" w:type="dxa"/>
            <w:vAlign w:val="bottom"/>
          </w:tcPr>
          <w:p>
            <w:pPr>
              <w:jc w:val="right"/>
              <w:ind w:right="492"/>
              <w:spacing w:after="0" w:line="129" w:lineRule="exact"/>
              <w:rPr>
                <w:sz w:val="20"/>
                <w:szCs w:val="20"/>
                <w:color w:val="auto"/>
              </w:rPr>
            </w:pPr>
            <w:r>
              <w:rPr>
                <w:rFonts w:ascii="Times New Roman" w:cs="Times New Roman" w:eastAsia="Times New Roman" w:hAnsi="Times New Roman"/>
                <w:sz w:val="11"/>
                <w:szCs w:val="11"/>
                <w:color w:val="auto"/>
              </w:rPr>
              <w:t xml:space="preserve">(Weighted-Average) </w:t>
            </w:r>
            <w:r>
              <w:rPr>
                <w:rFonts w:ascii="Times New Roman" w:cs="Times New Roman" w:eastAsia="Times New Roman" w:hAnsi="Times New Roman"/>
                <w:sz w:val="14"/>
                <w:szCs w:val="14"/>
                <w:color w:val="auto"/>
                <w:vertAlign w:val="superscript"/>
              </w:rPr>
              <w:t>1</w:t>
            </w:r>
          </w:p>
        </w:tc>
      </w:tr>
      <w:tr>
        <w:trPr>
          <w:trHeight w:val="22"/>
        </w:trPr>
        <w:tc>
          <w:tcPr>
            <w:tcW w:w="102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118"/>
        </w:trPr>
        <w:tc>
          <w:tcPr>
            <w:tcW w:w="21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Collateral-dependent impaired</w:t>
            </w: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10"/>
                <w:szCs w:val="10"/>
                <w:color w:val="auto"/>
              </w:rPr>
            </w:pPr>
          </w:p>
        </w:tc>
      </w:tr>
      <w:tr>
        <w:trPr>
          <w:trHeight w:val="191"/>
        </w:trPr>
        <w:tc>
          <w:tcPr>
            <w:tcW w:w="2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loans, net of ACL</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approach</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34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rPr>
              <w:t>10.0% - 10.0% (10.0%)</w:t>
            </w:r>
          </w:p>
        </w:tc>
      </w:tr>
      <w:tr>
        <w:trPr>
          <w:trHeight w:val="180"/>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comparison approach</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34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rPr>
              <w:t>10.0% - 20.0% (15.9%)</w:t>
            </w:r>
          </w:p>
        </w:tc>
      </w:tr>
      <w:tr>
        <w:trPr>
          <w:trHeight w:val="180"/>
        </w:trPr>
        <w:tc>
          <w:tcPr>
            <w:tcW w:w="10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Combined approach</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34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rPr>
              <w:t>10.0% - 10.0% (10.0%)</w:t>
            </w:r>
          </w:p>
        </w:tc>
      </w:tr>
      <w:tr>
        <w:trPr>
          <w:trHeight w:val="171"/>
        </w:trPr>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ind w:left="80" w:hanging="75"/>
        <w:spacing w:after="0" w:line="206" w:lineRule="auto"/>
        <w:tabs>
          <w:tab w:leader="none" w:pos="8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 range for selling cost inputs represents reductions to the fair value of the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Fair Value of Financial Instruments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There have been no significant changes in the valuation techniques during the period ended June 30,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r>
        <w:rPr>
          <w:rFonts w:ascii="Times New Roman" w:cs="Times New Roman" w:eastAsia="Times New Roman" w:hAnsi="Times New Roman"/>
          <w:sz w:val="14"/>
          <w:szCs w:val="14"/>
          <w:color w:val="auto"/>
        </w:rPr>
        <w:t>. Fair value is estimated at book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securities, held-to-maturity</w:t>
      </w:r>
      <w:r>
        <w:rPr>
          <w:rFonts w:ascii="Times New Roman" w:cs="Times New Roman" w:eastAsia="Times New Roman" w:hAnsi="Times New Roman"/>
          <w:sz w:val="14"/>
          <w:szCs w:val="14"/>
          <w:color w:val="auto"/>
        </w:rPr>
        <w:t>. Fair value for held-to-maturity debt securities is estimated in the same manner as available-for sale debt securities, which is described above.</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Loans receivable, net of ACL</w:t>
      </w:r>
      <w:r>
        <w:rPr>
          <w:rFonts w:ascii="Times New Roman" w:cs="Times New Roman" w:eastAsia="Times New Roman" w:hAnsi="Times New Roman"/>
          <w:sz w:val="14"/>
          <w:szCs w:val="14"/>
          <w:color w:val="auto"/>
        </w:rPr>
        <w:t>. The loans are fair valued on an individual basis, with consideration given to the loans' underlying characteristics, including account types, remaining terms and balance,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Term deposits</w:t>
      </w:r>
      <w:r>
        <w:rPr>
          <w:rFonts w:ascii="Times New Roman" w:cs="Times New Roman" w:eastAsia="Times New Roman" w:hAnsi="Times New Roman"/>
          <w:sz w:val="14"/>
          <w:szCs w:val="14"/>
          <w:color w:val="auto"/>
        </w:rPr>
        <w:t>. Fair value of term deposits is estimated by discounting the future cash flows using rates of similar deposits with similar maturities. The market rates used are obtained from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independent third party based on current rates offered by the Company’s regional competitors.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FHLB advances. </w:t>
      </w:r>
      <w:r>
        <w:rPr>
          <w:rFonts w:ascii="Times New Roman" w:cs="Times New Roman" w:eastAsia="Times New Roman" w:hAnsi="Times New Roman"/>
          <w:sz w:val="14"/>
          <w:szCs w:val="14"/>
          <w:color w:val="auto"/>
        </w:rPr>
        <w:t>Fair value of advances is estimated based on borrowing rates currently available to the Company for advances with similar terms and maturities.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Repurchase agreements and other borrowed funds</w:t>
      </w:r>
      <w:r>
        <w:rPr>
          <w:rFonts w:ascii="Times New Roman" w:cs="Times New Roman" w:eastAsia="Times New Roman" w:hAnsi="Times New Roman"/>
          <w:sz w:val="14"/>
          <w:szCs w:val="14"/>
          <w:color w:val="auto"/>
        </w:rPr>
        <w:t>. Fair value of term repurchase agreements and other term borrowings is estimated based on current repurchase rates and borrowing rates currently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to the Company for repurchases and borrowings with similar terms and maturities. The estimated fair value for overnight repurchase agreements and other borrowings is book value.</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Subordinated debentures</w:t>
      </w:r>
      <w:r>
        <w:rPr>
          <w:rFonts w:ascii="Times New Roman" w:cs="Times New Roman" w:eastAsia="Times New Roman" w:hAnsi="Times New Roman"/>
          <w:sz w:val="14"/>
          <w:szCs w:val="14"/>
          <w:color w:val="auto"/>
        </w:rPr>
        <w:t>. Fair value of the subordinated debt is estimated by discounting the estimated future cash flows using current estimated market rates obtained from an independent third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party.</w:t>
      </w:r>
    </w:p>
    <w:p>
      <w:pPr>
        <w:spacing w:after="0" w:line="3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Off-balance sheet financial instrument</w:t>
      </w:r>
      <w:r>
        <w:rPr>
          <w:rFonts w:ascii="Times New Roman" w:cs="Times New Roman" w:eastAsia="Times New Roman" w:hAnsi="Times New Roman"/>
          <w:sz w:val="14"/>
          <w:szCs w:val="14"/>
          <w:color w:val="auto"/>
        </w:rPr>
        <w:t>s. Unused lines of credit and letters of credit represent the principal categories of off-balance sheet financial instruments. The fair value of commitments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0"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w w:val="99"/>
              </w:rPr>
              <w:t>Fair Value Measurements</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bottom w:val="single" w:sz="8" w:color="auto"/>
            </w:tcBorders>
            <w:gridSpan w:val="5"/>
          </w:tcPr>
          <w:p>
            <w:pPr>
              <w:jc w:val="center"/>
              <w:ind w:left="1129"/>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1960" w:type="dxa"/>
            <w:vAlign w:val="bottom"/>
            <w:gridSpan w:val="3"/>
          </w:tcPr>
          <w:p>
            <w:pPr>
              <w:jc w:val="center"/>
              <w:ind w:right="460"/>
              <w:spacing w:after="0" w:line="132" w:lineRule="exact"/>
              <w:rPr>
                <w:sz w:val="20"/>
                <w:szCs w:val="20"/>
                <w:color w:val="auto"/>
              </w:rPr>
            </w:pPr>
            <w:r>
              <w:rPr>
                <w:rFonts w:ascii="Times New Roman" w:cs="Times New Roman" w:eastAsia="Times New Roman" w:hAnsi="Times New Roman"/>
                <w:sz w:val="14"/>
                <w:szCs w:val="14"/>
                <w:color w:val="auto"/>
              </w:rPr>
              <w:t>Significant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in Active</w:t>
            </w:r>
          </w:p>
        </w:tc>
        <w:tc>
          <w:tcPr>
            <w:tcW w:w="19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80" w:type="dxa"/>
            <w:vAlign w:val="bottom"/>
          </w:tcPr>
          <w:p>
            <w:pPr>
              <w:jc w:val="center"/>
              <w:ind w:right="289"/>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Markets for</w:t>
            </w:r>
          </w:p>
        </w:tc>
        <w:tc>
          <w:tcPr>
            <w:tcW w:w="196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180" w:type="dxa"/>
            <w:vAlign w:val="bottom"/>
          </w:tcPr>
          <w:p>
            <w:pPr>
              <w:jc w:val="center"/>
              <w:ind w:right="269"/>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Carrying Amount</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19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180" w:type="dxa"/>
            <w:vAlign w:val="bottom"/>
          </w:tcPr>
          <w:p>
            <w:pPr>
              <w:jc w:val="center"/>
              <w:ind w:right="269"/>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Pr>
          <w:p>
            <w:pPr>
              <w:spacing w:after="0"/>
              <w:rPr>
                <w:sz w:val="11"/>
                <w:szCs w:val="11"/>
                <w:color w:val="auto"/>
              </w:rPr>
            </w:pPr>
          </w:p>
        </w:tc>
        <w:tc>
          <w:tcPr>
            <w:tcW w:w="14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June 30, 2025</w:t>
            </w:r>
          </w:p>
        </w:tc>
        <w:tc>
          <w:tcPr>
            <w:tcW w:w="16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(Level 1)</w:t>
            </w:r>
          </w:p>
        </w:tc>
        <w:tc>
          <w:tcPr>
            <w:tcW w:w="196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color w:val="auto"/>
              </w:rPr>
              <w:t>(Level 2)</w:t>
            </w:r>
          </w:p>
        </w:tc>
        <w:tc>
          <w:tcPr>
            <w:tcW w:w="1180" w:type="dxa"/>
            <w:vAlign w:val="bottom"/>
          </w:tcPr>
          <w:p>
            <w:pPr>
              <w:jc w:val="center"/>
              <w:ind w:right="269"/>
              <w:spacing w:after="0" w:line="118" w:lineRule="exact"/>
              <w:rPr>
                <w:sz w:val="20"/>
                <w:szCs w:val="20"/>
                <w:color w:val="auto"/>
              </w:rPr>
            </w:pPr>
            <w:r>
              <w:rPr>
                <w:rFonts w:ascii="Times New Roman" w:cs="Times New Roman" w:eastAsia="Times New Roman" w:hAnsi="Times New Roman"/>
                <w:sz w:val="13"/>
                <w:szCs w:val="13"/>
                <w:color w:val="auto"/>
              </w:rPr>
              <w:t>(Level 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915,507</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915,507</w:t>
            </w:r>
          </w:p>
        </w:tc>
        <w:tc>
          <w:tcPr>
            <w:tcW w:w="100" w:type="dxa"/>
            <w:vAlign w:val="bottom"/>
          </w:tcPr>
          <w:p>
            <w:pPr>
              <w:spacing w:after="0"/>
              <w:rPr>
                <w:sz w:val="15"/>
                <w:szCs w:val="15"/>
                <w:color w:val="auto"/>
              </w:rPr>
            </w:pPr>
          </w:p>
        </w:tc>
        <w:tc>
          <w:tcPr>
            <w:tcW w:w="19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3,206,133</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2,871,520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receivable, net of ACL</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18,305,941</w:t>
            </w:r>
          </w:p>
        </w:tc>
        <w:tc>
          <w:tcPr>
            <w:tcW w:w="8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18,489,016</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22,427,581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2,871,520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18,489,016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Term deposits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3,238,576</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3,268,762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FHLB advances</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1,255,088</w:t>
            </w:r>
          </w:p>
        </w:tc>
        <w:tc>
          <w:tcPr>
            <w:tcW w:w="8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1,222,487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820" w:type="dxa"/>
            <w:vAlign w:val="bottom"/>
            <w:gridSpan w:val="2"/>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Repurchase agreements and</w:t>
            </w: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borrowed funds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2,057,999</w:t>
            </w: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2,057,999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Subordinated debentures</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157,127</w:t>
            </w:r>
          </w:p>
        </w:tc>
        <w:tc>
          <w:tcPr>
            <w:tcW w:w="8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6,708,790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6,697,375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w w:val="99"/>
              </w:rPr>
              <w:t>Fair Value Measurements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bottom w:val="single" w:sz="8" w:color="auto"/>
            </w:tcBorders>
            <w:gridSpan w:val="5"/>
          </w:tcPr>
          <w:p>
            <w:pPr>
              <w:jc w:val="center"/>
              <w:ind w:left="1129"/>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1960" w:type="dxa"/>
            <w:vAlign w:val="bottom"/>
            <w:gridSpan w:val="3"/>
          </w:tcPr>
          <w:p>
            <w:pPr>
              <w:jc w:val="center"/>
              <w:ind w:right="460"/>
              <w:spacing w:after="0" w:line="132" w:lineRule="exact"/>
              <w:rPr>
                <w:sz w:val="20"/>
                <w:szCs w:val="20"/>
                <w:color w:val="auto"/>
              </w:rPr>
            </w:pPr>
            <w:r>
              <w:rPr>
                <w:rFonts w:ascii="Times New Roman" w:cs="Times New Roman" w:eastAsia="Times New Roman" w:hAnsi="Times New Roman"/>
                <w:sz w:val="14"/>
                <w:szCs w:val="14"/>
                <w:color w:val="auto"/>
              </w:rPr>
              <w:t>Significant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in Active</w:t>
            </w:r>
          </w:p>
        </w:tc>
        <w:tc>
          <w:tcPr>
            <w:tcW w:w="19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80" w:type="dxa"/>
            <w:vAlign w:val="bottom"/>
          </w:tcPr>
          <w:p>
            <w:pPr>
              <w:jc w:val="center"/>
              <w:ind w:right="289"/>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Carrying Amount</w:t>
            </w:r>
          </w:p>
        </w:tc>
        <w:tc>
          <w:tcPr>
            <w:tcW w:w="16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Markets for</w:t>
            </w:r>
          </w:p>
        </w:tc>
        <w:tc>
          <w:tcPr>
            <w:tcW w:w="196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180" w:type="dxa"/>
            <w:vAlign w:val="bottom"/>
          </w:tcPr>
          <w:p>
            <w:pPr>
              <w:jc w:val="center"/>
              <w:ind w:right="269"/>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Identical Assets</w:t>
            </w:r>
          </w:p>
        </w:tc>
        <w:tc>
          <w:tcPr>
            <w:tcW w:w="196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1180" w:type="dxa"/>
            <w:vAlign w:val="bottom"/>
          </w:tcPr>
          <w:p>
            <w:pPr>
              <w:jc w:val="center"/>
              <w:ind w:right="269"/>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9"/>
              </w:rPr>
              <w:t>December 31, 2024</w:t>
            </w:r>
          </w:p>
        </w:tc>
        <w:tc>
          <w:tcPr>
            <w:tcW w:w="16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(Level 1)</w:t>
            </w:r>
          </w:p>
        </w:tc>
        <w:tc>
          <w:tcPr>
            <w:tcW w:w="196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color w:val="auto"/>
              </w:rPr>
              <w:t>(Level 2)</w:t>
            </w:r>
          </w:p>
        </w:tc>
        <w:tc>
          <w:tcPr>
            <w:tcW w:w="1180" w:type="dxa"/>
            <w:vAlign w:val="bottom"/>
          </w:tcPr>
          <w:p>
            <w:pPr>
              <w:jc w:val="center"/>
              <w:ind w:right="269"/>
              <w:spacing w:after="0" w:line="129" w:lineRule="exact"/>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100" w:type="dxa"/>
            <w:vAlign w:val="bottom"/>
          </w:tcPr>
          <w:p>
            <w:pPr>
              <w:spacing w:after="0"/>
              <w:rPr>
                <w:sz w:val="15"/>
                <w:szCs w:val="15"/>
                <w:color w:val="auto"/>
              </w:rPr>
            </w:pPr>
          </w:p>
        </w:tc>
        <w:tc>
          <w:tcPr>
            <w:tcW w:w="19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receivable, net of ACL</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8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17,017,298</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21,199,063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17,017,298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Term deposits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3,139,821</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3,176,722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FHLB advances</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8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1,797,310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820" w:type="dxa"/>
            <w:vAlign w:val="bottom"/>
            <w:gridSpan w:val="2"/>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Repurchase agreements and</w:t>
            </w: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borrowed funds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1,860,816</w:t>
            </w: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1,860,816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Subordinated debentures</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8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6,933,742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6,957,633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Note 14. Mergers &amp; Acquisitions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April 30, 2025, the Company acquired 100 percent of the outstanding common stock of Bank of Idaho Holding Co. (“BOID”) and its wholly-owned subsidiary, Bank of Idaho (“BOI”), a community bank based in Idaho Falls, Idaho. BOI provides banking services to individuals and businesses throughout Idaho and Eastern Washington. BOI will be combined with three existing Glacier Bank divisions upon operational conversion. The preliminary value of the BOI acquisition was $204,988,000 and as part of the transaction, the Company issued 5,029,102 shares of its common stock and paid $2,000 in cash in exchange for all of BOID’s outstanding shares of common stock and options to purchase common stock. The fair value of the Company shares issued was determined on the basis of the closing market price of the Company’s common stock on the April 30, 2025 acquisition date. The excess of the preliminary fair value of consideration transferred over total identifiable net assets was recorded as goodwill. The goodwill arising from the acquisition consists largely of the synergies and economies of scale expected from combining the operations of the Bank and BOI. None of the goodwill is deductible for income tax purposes as the acquisition was accounted for as a tax-free exchange.</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assets and liabilities of BOID were recorded on the Company’s consolidated statements of financial condition at their preliminary estimated fair values as of the acquisition date and the results of operations have been included in the Company’s consolidated statements of operations since that date. The acquisition constituted a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as defined in ASC Topic 805,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Combinations. </w:t>
      </w:r>
      <w:r>
        <w:rPr>
          <w:rFonts w:ascii="Times New Roman" w:cs="Times New Roman" w:eastAsia="Times New Roman" w:hAnsi="Times New Roman"/>
          <w:sz w:val="14"/>
          <w:szCs w:val="14"/>
          <w:color w:val="auto"/>
        </w:rPr>
        <w:t>The Company determined fair values in accordance with the guidance provided in ASC Topic 820,</w:t>
      </w:r>
      <w:r>
        <w:rPr>
          <w:rFonts w:ascii="Times New Roman" w:cs="Times New Roman" w:eastAsia="Times New Roman" w:hAnsi="Times New Roman"/>
          <w:sz w:val="14"/>
          <w:szCs w:val="14"/>
          <w:i w:val="1"/>
          <w:iCs w:val="1"/>
          <w:color w:val="auto"/>
        </w:rPr>
        <w:t xml:space="preserve"> Fair Value Measurements and Disclosures</w:t>
      </w:r>
      <w:r>
        <w:rPr>
          <w:rFonts w:ascii="Times New Roman" w:cs="Times New Roman" w:eastAsia="Times New Roman" w:hAnsi="Times New Roman"/>
          <w:sz w:val="14"/>
          <w:szCs w:val="14"/>
          <w:color w:val="auto"/>
        </w:rPr>
        <w:t>. In many cases, the determination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fair values require management to make estimates about discount rates, future expected cash flows, market conditions and other future events that are subjective in nature and subject to change, and actual results could differ materially.</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following table discloses the preliminary fair value estimates of the consideration transferred, the total identifiable net assets acquired and the resulting goodwill arising from the acquisition of BOID. The Company is continuing to obtain information to determine the fair values of assets acquired and liabilities assumed.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9"/>
              </w:rPr>
              <w:t>BOID</w:t>
            </w: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center"/>
              <w:ind w:right="249"/>
              <w:spacing w:after="0" w:line="142" w:lineRule="exact"/>
              <w:rPr>
                <w:sz w:val="20"/>
                <w:szCs w:val="20"/>
                <w:color w:val="auto"/>
              </w:rPr>
            </w:pPr>
            <w:r>
              <w:rPr>
                <w:rFonts w:ascii="Times New Roman" w:cs="Times New Roman" w:eastAsia="Times New Roman" w:hAnsi="Times New Roman"/>
                <w:sz w:val="14"/>
                <w:szCs w:val="14"/>
                <w:color w:val="auto"/>
              </w:rPr>
              <w:t>April 30,</w:t>
            </w:r>
          </w:p>
        </w:tc>
      </w:tr>
      <w:tr>
        <w:trPr>
          <w:trHeight w:val="149"/>
        </w:trPr>
        <w:tc>
          <w:tcPr>
            <w:tcW w:w="20" w:type="dxa"/>
            <w:vAlign w:val="bottom"/>
          </w:tcPr>
          <w:p>
            <w:pPr>
              <w:spacing w:after="0"/>
              <w:rPr>
                <w:sz w:val="12"/>
                <w:szCs w:val="12"/>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20" w:type="dxa"/>
            <w:vAlign w:val="bottom"/>
          </w:tcPr>
          <w:p>
            <w:pPr>
              <w:jc w:val="center"/>
              <w:ind w:right="249"/>
              <w:spacing w:after="0" w:line="149" w:lineRule="exact"/>
              <w:rPr>
                <w:sz w:val="20"/>
                <w:szCs w:val="20"/>
                <w:color w:val="auto"/>
              </w:rPr>
            </w:pPr>
            <w:r>
              <w:rPr>
                <w:rFonts w:ascii="Times New Roman" w:cs="Times New Roman" w:eastAsia="Times New Roman" w:hAnsi="Times New Roman"/>
                <w:sz w:val="14"/>
                <w:szCs w:val="14"/>
                <w:color w:val="auto"/>
                <w:w w:val="99"/>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9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Fair value of Company shares issued</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204,986</w:t>
            </w:r>
          </w:p>
        </w:tc>
      </w:tr>
      <w:tr>
        <w:trPr>
          <w:trHeight w:val="180"/>
        </w:trPr>
        <w:tc>
          <w:tcPr>
            <w:tcW w:w="20" w:type="dxa"/>
            <w:vAlign w:val="bottom"/>
            <w:shd w:val="clear" w:color="auto" w:fill="CCEEFF"/>
          </w:tcPr>
          <w:p>
            <w:pPr>
              <w:spacing w:after="0"/>
              <w:rPr>
                <w:sz w:val="15"/>
                <w:szCs w:val="15"/>
                <w:color w:val="auto"/>
              </w:rPr>
            </w:pPr>
          </w:p>
        </w:tc>
        <w:tc>
          <w:tcPr>
            <w:tcW w:w="9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consideration</w:t>
            </w:r>
          </w:p>
        </w:tc>
        <w:tc>
          <w:tcPr>
            <w:tcW w:w="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20" w:type="dxa"/>
            <w:vAlign w:val="bottom"/>
          </w:tcPr>
          <w:p>
            <w:pPr>
              <w:spacing w:after="0"/>
              <w:rPr>
                <w:sz w:val="14"/>
                <w:szCs w:val="14"/>
                <w:color w:val="auto"/>
              </w:rPr>
            </w:pPr>
          </w:p>
        </w:tc>
        <w:tc>
          <w:tcPr>
            <w:tcW w:w="96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fair value of consideration transferred</w:t>
            </w: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96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w:t>
            </w:r>
          </w:p>
        </w:tc>
        <w:tc>
          <w:tcPr>
            <w:tcW w:w="3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9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Identifiable assets acquired</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9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26,127</w:t>
            </w:r>
          </w:p>
        </w:tc>
      </w:tr>
      <w:tr>
        <w:trPr>
          <w:trHeight w:val="180"/>
        </w:trPr>
        <w:tc>
          <w:tcPr>
            <w:tcW w:w="20" w:type="dxa"/>
            <w:vAlign w:val="bottom"/>
          </w:tcPr>
          <w:p>
            <w:pPr>
              <w:spacing w:after="0"/>
              <w:rPr>
                <w:sz w:val="15"/>
                <w:szCs w:val="15"/>
                <w:color w:val="auto"/>
              </w:rPr>
            </w:pPr>
          </w:p>
        </w:tc>
        <w:tc>
          <w:tcPr>
            <w:tcW w:w="96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Debt securities</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139,974</w:t>
            </w:r>
          </w:p>
        </w:tc>
      </w:tr>
      <w:tr>
        <w:trPr>
          <w:trHeight w:val="180"/>
        </w:trPr>
        <w:tc>
          <w:tcPr>
            <w:tcW w:w="20" w:type="dxa"/>
            <w:vAlign w:val="bottom"/>
            <w:shd w:val="clear" w:color="auto" w:fill="CCEEFF"/>
          </w:tcPr>
          <w:p>
            <w:pPr>
              <w:spacing w:after="0"/>
              <w:rPr>
                <w:sz w:val="15"/>
                <w:szCs w:val="15"/>
                <w:color w:val="auto"/>
              </w:rPr>
            </w:pPr>
          </w:p>
        </w:tc>
        <w:tc>
          <w:tcPr>
            <w:tcW w:w="9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Loans receivable, net of ACL</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1,075,197</w:t>
            </w:r>
          </w:p>
        </w:tc>
      </w:tr>
      <w:tr>
        <w:trPr>
          <w:trHeight w:val="180"/>
        </w:trPr>
        <w:tc>
          <w:tcPr>
            <w:tcW w:w="20" w:type="dxa"/>
            <w:vAlign w:val="bottom"/>
          </w:tcPr>
          <w:p>
            <w:pPr>
              <w:spacing w:after="0"/>
              <w:rPr>
                <w:sz w:val="15"/>
                <w:szCs w:val="15"/>
                <w:color w:val="auto"/>
              </w:rPr>
            </w:pPr>
          </w:p>
        </w:tc>
        <w:tc>
          <w:tcPr>
            <w:tcW w:w="9600" w:type="dxa"/>
            <w:vAlign w:val="bottom"/>
            <w:gridSpan w:val="2"/>
          </w:tcPr>
          <w:p>
            <w:pPr>
              <w:ind w:left="500"/>
              <w:spacing w:after="0" w:line="181" w:lineRule="exact"/>
              <w:rPr>
                <w:sz w:val="20"/>
                <w:szCs w:val="20"/>
                <w:color w:val="auto"/>
              </w:rPr>
            </w:pPr>
            <w:r>
              <w:rPr>
                <w:rFonts w:ascii="Times New Roman" w:cs="Times New Roman" w:eastAsia="Times New Roman" w:hAnsi="Times New Roman"/>
                <w:sz w:val="14"/>
                <w:szCs w:val="14"/>
                <w:color w:val="auto"/>
              </w:rPr>
              <w:t xml:space="preserve">Core deposit intangible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19,758</w:t>
            </w:r>
          </w:p>
        </w:tc>
      </w:tr>
      <w:tr>
        <w:trPr>
          <w:trHeight w:val="180"/>
        </w:trPr>
        <w:tc>
          <w:tcPr>
            <w:tcW w:w="20" w:type="dxa"/>
            <w:vAlign w:val="bottom"/>
            <w:shd w:val="clear" w:color="auto" w:fill="CCEEFF"/>
          </w:tcPr>
          <w:p>
            <w:pPr>
              <w:spacing w:after="0"/>
              <w:rPr>
                <w:sz w:val="15"/>
                <w:szCs w:val="15"/>
                <w:color w:val="auto"/>
              </w:rPr>
            </w:pPr>
          </w:p>
        </w:tc>
        <w:tc>
          <w:tcPr>
            <w:tcW w:w="9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r>
      <w:tr>
        <w:trPr>
          <w:trHeight w:val="171"/>
        </w:trPr>
        <w:tc>
          <w:tcPr>
            <w:tcW w:w="20" w:type="dxa"/>
            <w:vAlign w:val="bottom"/>
            <w:tcBorders>
              <w:bottom w:val="single" w:sz="8" w:color="CCEEFF"/>
            </w:tcBorders>
          </w:tcPr>
          <w:p>
            <w:pPr>
              <w:spacing w:after="0"/>
              <w:rPr>
                <w:sz w:val="14"/>
                <w:szCs w:val="14"/>
                <w:color w:val="auto"/>
              </w:rPr>
            </w:pPr>
          </w:p>
        </w:tc>
        <w:tc>
          <w:tcPr>
            <w:tcW w:w="960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4"/>
                <w:szCs w:val="14"/>
                <w:color w:val="auto"/>
              </w:rPr>
              <w:t>Total identifiable assets acquired</w:t>
            </w: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1,294,557</w:t>
            </w:r>
          </w:p>
        </w:tc>
      </w:tr>
      <w:tr>
        <w:trPr>
          <w:trHeight w:val="160"/>
        </w:trPr>
        <w:tc>
          <w:tcPr>
            <w:tcW w:w="20" w:type="dxa"/>
            <w:vAlign w:val="bottom"/>
            <w:shd w:val="clear" w:color="auto" w:fill="CCEEFF"/>
          </w:tcPr>
          <w:p>
            <w:pPr>
              <w:spacing w:after="0"/>
              <w:rPr>
                <w:sz w:val="13"/>
                <w:szCs w:val="13"/>
                <w:color w:val="auto"/>
              </w:rPr>
            </w:pPr>
          </w:p>
        </w:tc>
        <w:tc>
          <w:tcPr>
            <w:tcW w:w="9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Liabilities assumed</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96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1,078,377</w:t>
            </w:r>
          </w:p>
        </w:tc>
      </w:tr>
      <w:tr>
        <w:trPr>
          <w:trHeight w:val="180"/>
        </w:trPr>
        <w:tc>
          <w:tcPr>
            <w:tcW w:w="20" w:type="dxa"/>
            <w:vAlign w:val="bottom"/>
            <w:shd w:val="clear" w:color="auto" w:fill="CCEEFF"/>
          </w:tcPr>
          <w:p>
            <w:pPr>
              <w:spacing w:after="0"/>
              <w:rPr>
                <w:sz w:val="15"/>
                <w:szCs w:val="15"/>
                <w:color w:val="auto"/>
              </w:rPr>
            </w:pPr>
          </w:p>
        </w:tc>
        <w:tc>
          <w:tcPr>
            <w:tcW w:w="9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Borrowings</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71,932</w:t>
            </w:r>
          </w:p>
        </w:tc>
      </w:tr>
      <w:tr>
        <w:trPr>
          <w:trHeight w:val="180"/>
        </w:trPr>
        <w:tc>
          <w:tcPr>
            <w:tcW w:w="20" w:type="dxa"/>
            <w:vAlign w:val="bottom"/>
            <w:tcBorders>
              <w:bottom w:val="single" w:sz="8" w:color="CCEEFF"/>
            </w:tcBorders>
          </w:tcPr>
          <w:p>
            <w:pPr>
              <w:spacing w:after="0"/>
              <w:rPr>
                <w:sz w:val="15"/>
                <w:szCs w:val="15"/>
                <w:color w:val="auto"/>
              </w:rPr>
            </w:pPr>
          </w:p>
        </w:tc>
        <w:tc>
          <w:tcPr>
            <w:tcW w:w="96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9,343</w:t>
            </w:r>
          </w:p>
        </w:tc>
      </w:tr>
      <w:tr>
        <w:trPr>
          <w:trHeight w:val="171"/>
        </w:trPr>
        <w:tc>
          <w:tcPr>
            <w:tcW w:w="20" w:type="dxa"/>
            <w:vAlign w:val="bottom"/>
            <w:shd w:val="clear" w:color="auto" w:fill="CCEEFF"/>
          </w:tcPr>
          <w:p>
            <w:pPr>
              <w:spacing w:after="0"/>
              <w:rPr>
                <w:sz w:val="14"/>
                <w:szCs w:val="14"/>
                <w:color w:val="auto"/>
              </w:rPr>
            </w:pPr>
          </w:p>
        </w:tc>
        <w:tc>
          <w:tcPr>
            <w:tcW w:w="96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1,159,652</w:t>
            </w:r>
          </w:p>
        </w:tc>
      </w:tr>
      <w:tr>
        <w:trPr>
          <w:trHeight w:val="171"/>
        </w:trPr>
        <w:tc>
          <w:tcPr>
            <w:tcW w:w="20" w:type="dxa"/>
            <w:vAlign w:val="bottom"/>
            <w:tcBorders>
              <w:bottom w:val="single" w:sz="8" w:color="CCEEFF"/>
            </w:tcBorders>
          </w:tcPr>
          <w:p>
            <w:pPr>
              <w:spacing w:after="0"/>
              <w:rPr>
                <w:sz w:val="14"/>
                <w:szCs w:val="14"/>
                <w:color w:val="auto"/>
              </w:rPr>
            </w:pPr>
          </w:p>
        </w:tc>
        <w:tc>
          <w:tcPr>
            <w:tcW w:w="960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4"/>
                <w:szCs w:val="14"/>
                <w:color w:val="auto"/>
              </w:rPr>
              <w:t>Total identifiable net assets</w:t>
            </w: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134,905</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6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Goodwill recognized</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40" w:lineRule="exact"/>
        <w:rPr>
          <w:sz w:val="20"/>
          <w:szCs w:val="20"/>
          <w:color w:val="auto"/>
        </w:rPr>
      </w:pPr>
    </w:p>
    <w:p>
      <w:pPr>
        <w:ind w:left="80" w:hanging="75"/>
        <w:spacing w:after="0"/>
        <w:tabs>
          <w:tab w:leader="none" w:pos="8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core deposit intangible for the acquisition was determined to have an estimated life of </w:t>
      </w:r>
      <w:r>
        <w:rPr>
          <w:rFonts w:ascii="Times New Roman" w:cs="Times New Roman" w:eastAsia="Times New Roman" w:hAnsi="Times New Roman"/>
          <w:sz w:val="14"/>
          <w:szCs w:val="14"/>
          <w:color w:val="auto"/>
        </w:rPr>
        <w:t>10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9" w:name="page50"/>
    <w:bookmarkEnd w:id="49"/>
    <w:p>
      <w:pPr>
        <w:jc w:val="both"/>
        <w:spacing w:after="0" w:line="287" w:lineRule="auto"/>
        <w:rPr>
          <w:sz w:val="20"/>
          <w:szCs w:val="20"/>
          <w:color w:val="auto"/>
        </w:rPr>
      </w:pPr>
      <w:r>
        <w:rPr>
          <w:rFonts w:ascii="Times New Roman" w:cs="Times New Roman" w:eastAsia="Times New Roman" w:hAnsi="Times New Roman"/>
          <w:sz w:val="14"/>
          <w:szCs w:val="14"/>
          <w:color w:val="auto"/>
        </w:rPr>
        <w:t>The preliminary fair values of the BOID assets acquired include loans with fair values of $1,075,232,000. The gross principal and contractual interest due under the loans acquired were $1,080,765,000. The Company evaluated the loans at acquisition date and determined there were PCD loans of $8,726,000 with an ACL of $35,000.</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incurred $3,087,000 of expenses in connection with the BOID acquisition during the six months ended June 30, 2025. Mergers and acquisition expenses are included in other expense in the Company's consolidated statements of operations and consist of third-party costs and employee severance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income consisting of net interest income and non-interest income of the acquired operations was approximately $9,755,000 and net loss was approximately $10,067,000 from April 30, 2025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2025. The following unaudited pro forma summary presents consolidated information of the Company as if the BOID acquisition had occurred on January 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gridSpan w:val="3"/>
          </w:tcPr>
          <w:p>
            <w:pPr>
              <w:ind w:left="24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96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w w:val="98"/>
              </w:rPr>
              <w:t>June 30,</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 and non-interest income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245,536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482,951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422,302</w:t>
            </w:r>
          </w:p>
        </w:tc>
      </w:tr>
      <w:tr>
        <w:trPr>
          <w:trHeight w:val="184"/>
        </w:trPr>
        <w:tc>
          <w:tcPr>
            <w:tcW w:w="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106,579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82,988</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Pending Acquisitions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June 24, 2025, the Company announced the signing of a definitive agreement to acquire Guaranty Bancshares, Inc. and its wholly-owned subsidiary, Guaranty Bank &amp; Trust, N.A., a community bank headquartered in Mount Pleasant, Texas (collectively, “Guaranty”). As of June 30, 2025, Guaranty had total assets of $3.1 billion, total gross loans of $2.1 billion and total deposits of $2.7 billion. Upon closing of the transaction, Guaranty will operate as a new banking division under the name “Guaranty Bank &amp; Trust, Division of Glacier Bank”, representing the Company’s 18th separate bank division. The acquisition is subject to regulatory approvals, approval of Guaranty’s shareholders and other customary conditions of closing and is expected to be completed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management’s discussion and analysis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“Part I. Item 1. Financial Statements.”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Form 10-Q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including additional factors identified in the sections titled “Risk Factors,” “Business” and “Management’s Discussion and Analysis of Financial Condition and Results of Operations,” as applicable, in this report and in the Company’s 2024 Annual Report on Form 10-K, could cause actual results to differ materially from the anticipated results (express or implied) or other expectations in the forward-looking statements:</w:t>
      </w:r>
    </w:p>
    <w:p>
      <w:pPr>
        <w:spacing w:after="0" w:line="83"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lending and potential adverse changes in the credit quality of the Company’s loan portfolio;</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ind w:left="520" w:hanging="260"/>
        <w:spacing w:after="0" w:line="246"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including increased FDIC insurance rates and assessments, changes in the review and regulation of bank mergers, or increased banking and consumer protection regulations, that may adversely affect the Company’s business and strategies;</w:t>
      </w:r>
    </w:p>
    <w:p>
      <w:pPr>
        <w:ind w:left="520" w:right="460" w:hanging="260"/>
        <w:spacing w:after="0" w:line="23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w:t>
      </w:r>
    </w:p>
    <w:p>
      <w:pPr>
        <w:ind w:left="520" w:right="660" w:hanging="260"/>
        <w:spacing w:after="0" w:line="23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to our business and the businesses of our customers arising from current or future tariffs or other trade restrictions, labor or supply chain issues, changes in the labor force, or geopolitical instability, including the wars in Ukraine and the Middle East;</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Company’s ability to negotiate, complete, and successfully integrate pending or future acquisitions;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or difficulties related to the completion and integration of pending or recently completed acquisitions;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the goodwill recorded by the Company in connection with acquisitions, which may have an adverse impact on earnings and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demand for banking products and services, whether as a result of changes in customer behavior, economic conditions, banking environment, or competition;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of the reputation of banks and the financial services industry, which could adversely affect the Company's ability to obtain and maintain customers;</w:t>
      </w:r>
    </w:p>
    <w:p>
      <w:pPr>
        <w:ind w:left="520" w:hanging="260"/>
        <w:spacing w:after="0" w:line="24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landscape, including as may result from new market entrants or further consolidation in the financial services industry, resulting in the creation of larger competitors with greater financial resources;</w:t>
      </w:r>
    </w:p>
    <w:p>
      <w:pPr>
        <w:spacing w:after="0" w:line="1"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presented by public stock market volatility, which could adversely affect the market price of the Company’s common stock and the ability to raise additional capital or grow through acquisitions;</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dependence on the Chief Executive Officer (“CEO), the senior management team and the Presidents of Glacier Bank’s (the “Bank”) divisions;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failure, potential interruption or breach in security of the Company’s systems or changes in technology which could expose the Company to cybersecurity risks, fraud, system failures, or direct liabilities;</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natural disasters, including droughts, fires, floods, earthquakes, pandemics, and other unexpected events;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managing risks involved in any of the foregoing;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any reputational damage to the Company resulting from any of the foregoing.</w:t>
      </w:r>
    </w:p>
    <w:p>
      <w:pPr>
        <w:spacing w:after="0" w:line="10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Forward-looking statements speak only as of the date of this Form 10-Q. The Company does not undertake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7"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FINANCIAL CONDITION AND RESULTS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Highlights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left="629"/>
              <w:spacing w:after="0"/>
              <w:rPr>
                <w:sz w:val="20"/>
                <w:szCs w:val="20"/>
                <w:color w:val="auto"/>
              </w:rPr>
            </w:pPr>
            <w:r>
              <w:rPr>
                <w:rFonts w:ascii="Times New Roman" w:cs="Times New Roman" w:eastAsia="Times New Roman" w:hAnsi="Times New Roman"/>
                <w:sz w:val="14"/>
                <w:szCs w:val="14"/>
                <w:color w:val="auto"/>
              </w:rPr>
              <w:t>At or for the Three Months ended</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color w:val="auto"/>
              </w:rPr>
              <w:t>At or for the 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720" w:type="dxa"/>
            <w:vAlign w:val="bottom"/>
            <w:gridSpan w:val="3"/>
          </w:tcPr>
          <w:p>
            <w:pPr>
              <w:jc w:val="center"/>
              <w:ind w:right="42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96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420" w:type="dxa"/>
            <w:vAlign w:val="bottom"/>
            <w:gridSpan w:val="2"/>
          </w:tcPr>
          <w:p>
            <w:pPr>
              <w:ind w:left="46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340" w:type="dxa"/>
            <w:vAlign w:val="bottom"/>
          </w:tcPr>
          <w:p>
            <w:pPr>
              <w:jc w:val="right"/>
              <w:ind w:right="38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 except per share and market data)</w:t>
            </w:r>
          </w:p>
        </w:tc>
        <w:tc>
          <w:tcPr>
            <w:tcW w:w="280" w:type="dxa"/>
            <w:vAlign w:val="bottom"/>
          </w:tcPr>
          <w:p>
            <w:pPr>
              <w:spacing w:after="0"/>
              <w:rPr>
                <w:sz w:val="12"/>
                <w:szCs w:val="12"/>
                <w:color w:val="auto"/>
              </w:rPr>
            </w:pPr>
          </w:p>
        </w:tc>
        <w:tc>
          <w:tcPr>
            <w:tcW w:w="1020" w:type="dxa"/>
            <w:vAlign w:val="bottom"/>
          </w:tcPr>
          <w:p>
            <w:pPr>
              <w:jc w:val="right"/>
              <w:ind w:right="42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4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340" w:type="dxa"/>
            <w:vAlign w:val="bottom"/>
          </w:tcPr>
          <w:p>
            <w:pPr>
              <w:jc w:val="right"/>
              <w:ind w:right="46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340" w:type="dxa"/>
            <w:vAlign w:val="bottom"/>
          </w:tcPr>
          <w:p>
            <w:pPr>
              <w:jc w:val="right"/>
              <w:ind w:right="44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54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results</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52,781</w:t>
            </w:r>
          </w:p>
        </w:tc>
        <w:tc>
          <w:tcPr>
            <w:tcW w:w="10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54,568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44,708</w:t>
            </w:r>
          </w:p>
        </w:tc>
        <w:tc>
          <w:tcPr>
            <w:tcW w:w="1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107,349</w:t>
            </w:r>
          </w:p>
        </w:tc>
        <w:tc>
          <w:tcPr>
            <w:tcW w:w="8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77,335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0.93</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0.93</w:t>
            </w:r>
          </w:p>
        </w:tc>
        <w:tc>
          <w:tcPr>
            <w:tcW w:w="8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value per share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Closing</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43.08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43.08</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High</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52.81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40.18</w:t>
            </w:r>
          </w:p>
        </w:tc>
        <w:tc>
          <w:tcPr>
            <w:tcW w:w="1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52.81</w:t>
            </w:r>
          </w:p>
        </w:tc>
        <w:tc>
          <w:tcPr>
            <w:tcW w:w="80" w:type="dxa"/>
            <w:vAlign w:val="bottom"/>
          </w:tcPr>
          <w:p>
            <w:pPr>
              <w:spacing w:after="0"/>
              <w:rPr>
                <w:sz w:val="15"/>
                <w:szCs w:val="15"/>
                <w:color w:val="auto"/>
              </w:rPr>
            </w:pPr>
          </w:p>
        </w:tc>
        <w:tc>
          <w:tcPr>
            <w:tcW w:w="1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42.75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Low</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36.76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36.76</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Selected ratios and other data</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common stock shares outstanding</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118,550,475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113,517,944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113,394,092</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118,550,475</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113,394,092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Average outstanding shares - basic</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116,890,776</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113,451,199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113,390,539</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115,180,489</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112,941,341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Average outstanding shares - diluted</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116,918,290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113,546,365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113,405,491</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115,244,550</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112,981,531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0.74 %</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0.66 %</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0.56 %</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320" w:type="dxa"/>
            <w:vAlign w:val="bottom"/>
            <w:gridSpan w:val="2"/>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Return on average equity</w:t>
            </w:r>
          </w:p>
        </w:tc>
        <w:tc>
          <w:tcPr>
            <w:tcW w:w="2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6.13 %</w:t>
            </w:r>
          </w:p>
        </w:tc>
        <w:tc>
          <w:tcPr>
            <w:tcW w:w="1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6.77 %</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5.77 %</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6.44 %</w:t>
            </w:r>
          </w:p>
        </w:tc>
        <w:tc>
          <w:tcPr>
            <w:tcW w:w="8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3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(annualized)</w:t>
            </w:r>
          </w:p>
        </w:tc>
        <w:tc>
          <w:tcPr>
            <w:tcW w:w="28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3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Efficiency ratio</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62.08 %</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65.49 %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67.97 %</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63.72 %</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Loan to deposit ratio</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85.91 %</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83.64 %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84.03 %</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85.91 %</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84.03 %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Number of full time equivalent employees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locations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Number of ATMs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reported net income of $52.8 million for the current quarter, a decrease of $1.8 million, or 3 percent from the prior quarter net income of $54.6 million and an increase of $8.1 million, or 18 percent, from the $44.7 million of net income for the prior year second quarter. Diluted earnings per share for the current quarter was $0.45 per share, a decrease of 6 percent from the prior quarter diluted earnings per share of $0.48 per share and an increase of 15 percent from the prior year second quarter diluted earnings per share of $0.39. The current quarter included $3.2 million in acquisition-related expenses and $16.7 million of credit loss expense from the acquisition of BOID.</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June 24, 2025, the Company announced the signing of a definitive agreement to acquire Guaranty, a leading community bank headquartered in Mount Pleasant, Texas. As of June 30, 2025, Guaranty had total assets of $3.1 billion, total gross loans of $2.1 billion and total deposits of $2.7 billion. Upon closing of the transaction, Guaranty will operating as a new banking division under the name “Guaranty Bank &amp; Trust, Division of Glacier Bank”, representing the Company’s 18th separate bank division. The acquisition is subject to regulatory approvals, approval of Guaranty’s shareholders, and other customary conditions of closing and is expected to be completed in the fourth quarter of 2025.</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April 30, 2025, the Company completed its acquisition of BOID, which had 15 branches across eastern Idaho, Boise and eastern Washington. Upon the core system conversion, the BOID operations will join three existing Glacier Bank divisions. The Eastern Idaho operations of Bank of Idaho will join Citizens Community Bank, the Boise operations will join Mountain West Bank and the Eastern Washington operations will join Wheatland Bank. The Company’s results of operations and financial condition include the BOID acquisition beginning on the acquisition date. The following table discloses the preliminary fair value estimates of select classifications of assets and liabilities acquired: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52" w:name="page53"/>
    <w:bookmarkEnd w:id="52"/>
    <w:tbl>
      <w:tblPr>
        <w:tblLayout w:type="fixed"/>
        <w:tblInd w:w="23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BOID</w:t>
            </w:r>
          </w:p>
        </w:tc>
      </w:tr>
      <w:tr>
        <w:trPr>
          <w:trHeight w:val="187"/>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0" w:type="dxa"/>
            <w:vAlign w:val="bottom"/>
          </w:tcPr>
          <w:p>
            <w:pPr>
              <w:spacing w:after="0"/>
              <w:rPr>
                <w:sz w:val="16"/>
                <w:szCs w:val="16"/>
                <w:color w:val="auto"/>
              </w:rPr>
            </w:pPr>
          </w:p>
        </w:tc>
        <w:tc>
          <w:tcPr>
            <w:tcW w:w="12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April 30, 2025</w:t>
            </w:r>
          </w:p>
        </w:tc>
      </w:tr>
      <w:tr>
        <w:trPr>
          <w:trHeight w:val="18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1,364,640</w:t>
            </w: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w:t>
            </w:r>
          </w:p>
        </w:tc>
        <w:tc>
          <w:tcPr>
            <w:tcW w:w="18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139,974</w:t>
            </w:r>
          </w:p>
        </w:tc>
      </w:tr>
      <w:tr>
        <w:trPr>
          <w:trHeight w:val="18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receivable</w:t>
            </w:r>
          </w:p>
        </w:tc>
        <w:tc>
          <w:tcPr>
            <w:tcW w:w="18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1,075,232</w:t>
            </w: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18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271,385</w:t>
            </w:r>
          </w:p>
        </w:tc>
      </w:tr>
      <w:tr>
        <w:trPr>
          <w:trHeight w:val="18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bearing deposits</w:t>
            </w:r>
          </w:p>
        </w:tc>
        <w:tc>
          <w:tcPr>
            <w:tcW w:w="18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806,992</w:t>
            </w: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Borrowings and subordinated debt</w:t>
            </w:r>
          </w:p>
        </w:tc>
        <w:tc>
          <w:tcPr>
            <w:tcW w:w="18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Conditions</w:t>
      </w:r>
    </w:p>
    <w:p>
      <w:pPr>
        <w:spacing w:after="0" w:line="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current macroeconomic and geopolitical environment is subject to a number of uncertainties, including geopolitical conflicts, tariffs (or the threat thereof) or other changes in trade policies, capital markets volatility, and inflation. These and other factors may contribute to slower or negative economic growth and a challenging business environment for banking customers. The Company continues to monitor the changing macroeconomic and geopolitical environment and any potential future negative impact on our financial condition or results of operations. For more information about these risks, see “Part II, Item 1A, Risk Factors”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Financial Condition Analysis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6"/>
        </w:trPr>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4"/>
        </w:trPr>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assets as of the dates indicated: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Change from</w:t>
            </w:r>
          </w:p>
        </w:tc>
        <w:tc>
          <w:tcPr>
            <w:tcW w:w="1180" w:type="dxa"/>
            <w:vAlign w:val="bottom"/>
            <w:tcBorders>
              <w:bottom w:val="single" w:sz="8" w:color="auto"/>
            </w:tcBorders>
          </w:tcPr>
          <w:p>
            <w:pPr>
              <w:spacing w:after="0"/>
              <w:rPr>
                <w:sz w:val="17"/>
                <w:szCs w:val="17"/>
                <w:color w:val="auto"/>
              </w:rPr>
            </w:pPr>
          </w:p>
        </w:tc>
      </w:tr>
      <w:tr>
        <w:trPr>
          <w:trHeight w:val="136"/>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Jun 30,</w:t>
            </w:r>
          </w:p>
        </w:tc>
        <w:tc>
          <w:tcPr>
            <w:tcW w:w="1280" w:type="dxa"/>
            <w:vAlign w:val="bottom"/>
            <w:gridSpan w:val="2"/>
          </w:tcPr>
          <w:p>
            <w:pPr>
              <w:ind w:left="380"/>
              <w:spacing w:after="0" w:line="136" w:lineRule="exact"/>
              <w:rPr>
                <w:sz w:val="20"/>
                <w:szCs w:val="20"/>
                <w:color w:val="auto"/>
              </w:rPr>
            </w:pPr>
            <w:r>
              <w:rPr>
                <w:rFonts w:ascii="Times New Roman" w:cs="Times New Roman" w:eastAsia="Times New Roman" w:hAnsi="Times New Roman"/>
                <w:sz w:val="14"/>
                <w:szCs w:val="14"/>
                <w:color w:val="auto"/>
              </w:rPr>
              <w:t>Mar 31,</w:t>
            </w:r>
          </w:p>
        </w:tc>
        <w:tc>
          <w:tcPr>
            <w:tcW w:w="1600" w:type="dxa"/>
            <w:vAlign w:val="bottom"/>
            <w:gridSpan w:val="3"/>
          </w:tcPr>
          <w:p>
            <w:pPr>
              <w:ind w:left="380"/>
              <w:spacing w:after="0" w:line="136" w:lineRule="exact"/>
              <w:rPr>
                <w:sz w:val="20"/>
                <w:szCs w:val="20"/>
                <w:color w:val="auto"/>
              </w:rPr>
            </w:pPr>
            <w:r>
              <w:rPr>
                <w:rFonts w:ascii="Times New Roman" w:cs="Times New Roman" w:eastAsia="Times New Roman" w:hAnsi="Times New Roman"/>
                <w:sz w:val="14"/>
                <w:szCs w:val="14"/>
                <w:color w:val="auto"/>
              </w:rPr>
              <w:t>Dec 31,</w:t>
            </w:r>
          </w:p>
        </w:tc>
        <w:tc>
          <w:tcPr>
            <w:tcW w:w="9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Jun 30,</w:t>
            </w:r>
          </w:p>
        </w:tc>
        <w:tc>
          <w:tcPr>
            <w:tcW w:w="1280" w:type="dxa"/>
            <w:vAlign w:val="bottom"/>
            <w:gridSpan w:val="2"/>
          </w:tcPr>
          <w:p>
            <w:pPr>
              <w:ind w:left="360"/>
              <w:spacing w:after="0" w:line="136" w:lineRule="exact"/>
              <w:rPr>
                <w:sz w:val="20"/>
                <w:szCs w:val="20"/>
                <w:color w:val="auto"/>
              </w:rPr>
            </w:pPr>
            <w:r>
              <w:rPr>
                <w:rFonts w:ascii="Times New Roman" w:cs="Times New Roman" w:eastAsia="Times New Roman" w:hAnsi="Times New Roman"/>
                <w:sz w:val="14"/>
                <w:szCs w:val="14"/>
                <w:color w:val="auto"/>
              </w:rPr>
              <w:t>Mar 31,</w:t>
            </w:r>
          </w:p>
        </w:tc>
        <w:tc>
          <w:tcPr>
            <w:tcW w:w="128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color w:val="auto"/>
              </w:rPr>
              <w:t>Dec 31,</w:t>
            </w:r>
          </w:p>
        </w:tc>
        <w:tc>
          <w:tcPr>
            <w:tcW w:w="1180" w:type="dxa"/>
            <w:vAlign w:val="bottom"/>
          </w:tcPr>
          <w:p>
            <w:pPr>
              <w:jc w:val="right"/>
              <w:ind w:right="309"/>
              <w:spacing w:after="0" w:line="136" w:lineRule="exact"/>
              <w:rPr>
                <w:sz w:val="20"/>
                <w:szCs w:val="20"/>
                <w:color w:val="auto"/>
              </w:rPr>
            </w:pPr>
            <w:r>
              <w:rPr>
                <w:rFonts w:ascii="Times New Roman" w:cs="Times New Roman" w:eastAsia="Times New Roman" w:hAnsi="Times New Roman"/>
                <w:sz w:val="14"/>
                <w:szCs w:val="14"/>
                <w:color w:val="auto"/>
              </w:rPr>
              <w:t>Jun 30,</w:t>
            </w:r>
          </w:p>
        </w:tc>
      </w:tr>
      <w:tr>
        <w:trPr>
          <w:trHeight w:val="142"/>
        </w:trPr>
        <w:tc>
          <w:tcPr>
            <w:tcW w:w="20" w:type="dxa"/>
            <w:vAlign w:val="bottom"/>
          </w:tcPr>
          <w:p>
            <w:pPr>
              <w:spacing w:after="0"/>
              <w:rPr>
                <w:sz w:val="12"/>
                <w:szCs w:val="12"/>
                <w:color w:val="auto"/>
              </w:rPr>
            </w:pPr>
          </w:p>
        </w:tc>
        <w:tc>
          <w:tcPr>
            <w:tcW w:w="24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2"/>
                <w:szCs w:val="12"/>
                <w:color w:val="auto"/>
              </w:rPr>
            </w:pPr>
          </w:p>
        </w:tc>
        <w:tc>
          <w:tcPr>
            <w:tcW w:w="960" w:type="dxa"/>
            <w:vAlign w:val="bottom"/>
          </w:tcPr>
          <w:p>
            <w:pPr>
              <w:jc w:val="right"/>
              <w:ind w:right="38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180" w:type="dxa"/>
            <w:vAlign w:val="bottom"/>
          </w:tcPr>
          <w:p>
            <w:pPr>
              <w:jc w:val="right"/>
              <w:ind w:right="36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180" w:type="dxa"/>
            <w:vAlign w:val="bottom"/>
          </w:tcPr>
          <w:p>
            <w:pPr>
              <w:jc w:val="right"/>
              <w:ind w:right="36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8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180" w:type="dxa"/>
            <w:vAlign w:val="bottom"/>
          </w:tcPr>
          <w:p>
            <w:pPr>
              <w:jc w:val="right"/>
              <w:ind w:right="389"/>
              <w:spacing w:after="0" w:line="12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180" w:type="dxa"/>
            <w:vAlign w:val="bottom"/>
          </w:tcPr>
          <w:p>
            <w:pPr>
              <w:jc w:val="right"/>
              <w:ind w:right="369"/>
              <w:spacing w:after="0" w:line="122"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915,507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981,485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800,779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(65,978)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114,728</w:t>
            </w:r>
          </w:p>
        </w:tc>
      </w:tr>
      <w:tr>
        <w:trPr>
          <w:trHeight w:val="180"/>
        </w:trPr>
        <w:tc>
          <w:tcPr>
            <w:tcW w:w="2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4,024,980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4,172,312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4,499,541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(147,332)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(220,225)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(474,561)</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3,206,133</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3,261,575</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3,400,403</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(55,442)</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(194,270)</w:t>
            </w:r>
          </w:p>
        </w:tc>
      </w:tr>
      <w:tr>
        <w:trPr>
          <w:trHeight w:val="171"/>
        </w:trPr>
        <w:tc>
          <w:tcPr>
            <w:tcW w:w="20" w:type="dxa"/>
            <w:vAlign w:val="bottom"/>
          </w:tcPr>
          <w:p>
            <w:pPr>
              <w:spacing w:after="0"/>
              <w:rPr>
                <w:sz w:val="14"/>
                <w:szCs w:val="14"/>
                <w:color w:val="auto"/>
              </w:rPr>
            </w:pPr>
          </w:p>
        </w:tc>
        <w:tc>
          <w:tcPr>
            <w:tcW w:w="24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Total debt securities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7,231,113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7,433,887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7,540,052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7,899,944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(202,774)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(308,939)</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(668,831)</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receivable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real estate</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1,931,554</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1,850,079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1,771,528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160,026</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11,935,109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10,952,809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10,713,964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971,396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1,221,145</w:t>
            </w:r>
          </w:p>
        </w:tc>
      </w:tr>
      <w:tr>
        <w:trPr>
          <w:trHeight w:val="180"/>
        </w:trPr>
        <w:tc>
          <w:tcPr>
            <w:tcW w:w="20" w:type="dxa"/>
            <w:vAlign w:val="bottom"/>
          </w:tcPr>
          <w:p>
            <w:pPr>
              <w:spacing w:after="0"/>
              <w:rPr>
                <w:sz w:val="15"/>
                <w:szCs w:val="15"/>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 commercial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3,303,889</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3,121,477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3,066,028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182,412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184,354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237,861</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975,429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920,132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905,884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69,545</w:t>
            </w:r>
          </w:p>
        </w:tc>
      </w:tr>
      <w:tr>
        <w:trPr>
          <w:trHeight w:val="180"/>
        </w:trPr>
        <w:tc>
          <w:tcPr>
            <w:tcW w:w="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consumer</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386,759</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374,021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388,678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394,587</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12,738</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w:t>
            </w:r>
          </w:p>
        </w:tc>
      </w:tr>
      <w:tr>
        <w:trPr>
          <w:trHeight w:val="171"/>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Loans receivable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18,532,740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17,218,518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16,851,991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1,314,222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1,270,891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1,680,749</w:t>
            </w:r>
          </w:p>
        </w:tc>
      </w:tr>
      <w:tr>
        <w:trPr>
          <w:trHeight w:val="180"/>
        </w:trPr>
        <w:tc>
          <w:tcPr>
            <w:tcW w:w="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(226,799)</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(210,400)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(200,955)</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(20,758)</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(25,844)</w:t>
            </w:r>
          </w:p>
        </w:tc>
      </w:tr>
      <w:tr>
        <w:trPr>
          <w:trHeight w:val="171"/>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Loans receivable, net</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18,305,941</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17,008,118</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16,651,036</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1,297,823</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1,250,133</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1,654,905</w:t>
            </w:r>
          </w:p>
        </w:tc>
      </w:tr>
      <w:tr>
        <w:trPr>
          <w:trHeight w:val="171"/>
        </w:trPr>
        <w:tc>
          <w:tcPr>
            <w:tcW w:w="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2,552,422</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2,435,389</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2,458,719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2,453,581</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117,033</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93,703</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98,841</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29,004,983</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27,858,879</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27,902,987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27,805,340</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1,146,104</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1,101,996</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1,199,643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continues to maintain a strong cash position of $916 million at June 30, 2025 which was a decrease of $66 million over the prior quarter and an increase of $115 million over the prior year second quarter. Total debt securities of $7.231 billion at June 30, 2025 decreased $203 million, or 3 percent, during the current quarter and decreased $669 million, or 8 percent, from the prior year second quarter. Debt securities represented 25 percent of total assets at June 30, 2025 compared to 27 percent at March 31, 2025 and 28 percent at June 30, 2024.</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4"/>
          <w:szCs w:val="14"/>
          <w:color w:val="auto"/>
        </w:rPr>
        <w:t>The loan portfolio of $18.533 billion at June 30, 2025 increased $1.314 billion, or 8 percent, during the current quarter and increased $1.681 billion, or 10 percent, from the prior year second quarter. Excluding the BOID acquisition, the loan portfolio organically increased $239 million, or 6 percent annualized, during the current quarter. Excluding the BOID acquisition, the loan category with the largest dollar increase during the current quarter was commercial real estate which increased $250 million, or 2 percent over the prior quarter. Excluding the BOID acquisition and the Rocky Mountain Bank (“RMB”) acquisition on July 19, 2024, the loan portfolio organically increased $334 million, or 2 percent, since the prior year second quarter. Excluding the acquisitions, the loan category with the largest dollar increase in the last twelve months was commercial real estate which increased $368 million, or 3 percent over the prior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liabilities as of the dates indicated: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Change from</w:t>
            </w:r>
          </w:p>
        </w:tc>
        <w:tc>
          <w:tcPr>
            <w:tcW w:w="11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28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28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28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28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2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18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4"/>
                <w:szCs w:val="14"/>
                <w:color w:val="auto"/>
              </w:rPr>
              <w:t>Jun 30,</w:t>
            </w:r>
          </w:p>
        </w:tc>
      </w:tr>
      <w:tr>
        <w:trPr>
          <w:trHeight w:val="149"/>
        </w:trPr>
        <w:tc>
          <w:tcPr>
            <w:tcW w:w="2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2"/>
                <w:szCs w:val="12"/>
                <w:color w:val="auto"/>
              </w:rPr>
            </w:pPr>
          </w:p>
        </w:tc>
        <w:tc>
          <w:tcPr>
            <w:tcW w:w="96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18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18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18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18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18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6,593,728</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6,100,548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6,136,709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6,093,430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493,180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457,019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500,298</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NOW and DDA accounts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5,747,388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5,676,177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5,543,512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5,219,838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71,211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203,876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527,550</w:t>
            </w:r>
          </w:p>
        </w:tc>
      </w:tr>
      <w:tr>
        <w:trPr>
          <w:trHeight w:val="180"/>
        </w:trPr>
        <w:tc>
          <w:tcPr>
            <w:tcW w:w="20" w:type="dxa"/>
            <w:vAlign w:val="bottom"/>
          </w:tcPr>
          <w:p>
            <w:pPr>
              <w:spacing w:after="0"/>
              <w:rPr>
                <w:sz w:val="15"/>
                <w:szCs w:val="15"/>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Savings accounts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2,956,387</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2,896,378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2,845,124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2,862,034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111,263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94,353</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Money market deposit accounts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3,089,115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2,816,874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2,878,213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2,858,850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272,241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210,902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230,265</w:t>
            </w:r>
          </w:p>
        </w:tc>
      </w:tr>
      <w:tr>
        <w:trPr>
          <w:trHeight w:val="180"/>
        </w:trPr>
        <w:tc>
          <w:tcPr>
            <w:tcW w:w="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Certificate accounts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3,238,576</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3,140,333</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3,139,821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3,064,613</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98,243</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98,755</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173,963</w:t>
            </w:r>
          </w:p>
        </w:tc>
      </w:tr>
      <w:tr>
        <w:trPr>
          <w:trHeight w:val="171"/>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Core deposits, total</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21,625,194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20,630,310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20,543,379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20,098,765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994,884</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1,081,815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1,526,429</w:t>
            </w:r>
          </w:p>
        </w:tc>
      </w:tr>
      <w:tr>
        <w:trPr>
          <w:trHeight w:val="180"/>
        </w:trPr>
        <w:tc>
          <w:tcPr>
            <w:tcW w:w="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Wholesale deposits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71"/>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Deposits, total</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21,628,502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20,634,050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20,546,994</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20,101,759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994,452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1,081,508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1,526,743</w:t>
            </w:r>
          </w:p>
        </w:tc>
      </w:tr>
      <w:tr>
        <w:trPr>
          <w:trHeight w:val="138"/>
        </w:trPr>
        <w:tc>
          <w:tcPr>
            <w:tcW w:w="20" w:type="dxa"/>
            <w:vAlign w:val="bottom"/>
          </w:tcPr>
          <w:p>
            <w:pPr>
              <w:spacing w:after="0"/>
              <w:rPr>
                <w:sz w:val="11"/>
                <w:szCs w:val="11"/>
                <w:color w:val="auto"/>
              </w:rPr>
            </w:pPr>
          </w:p>
        </w:tc>
        <w:tc>
          <w:tcPr>
            <w:tcW w:w="242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2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repurchase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1,976,228</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1,849,070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1,777,475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1,629,504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127,158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198,753</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346,724</w:t>
            </w:r>
          </w:p>
        </w:tc>
      </w:tr>
      <w:tr>
        <w:trPr>
          <w:trHeight w:val="181"/>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1,255,088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1,520,000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(264,912)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(544,912)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(1,094,912)</w:t>
            </w:r>
          </w:p>
        </w:tc>
      </w:tr>
      <w:tr>
        <w:trPr>
          <w:trHeight w:val="180"/>
        </w:trPr>
        <w:tc>
          <w:tcPr>
            <w:tcW w:w="2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borrowed funds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62,366</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liabilities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Subordinated debentures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157,127</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133,145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133,024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24,103</w:t>
            </w: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374,003</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352,563</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338,218</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365,459</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21,440</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35,785</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8,544</w:t>
            </w:r>
          </w:p>
        </w:tc>
      </w:tr>
      <w:tr>
        <w:trPr>
          <w:trHeight w:val="171"/>
        </w:trPr>
        <w:tc>
          <w:tcPr>
            <w:tcW w:w="20" w:type="dxa"/>
            <w:vAlign w:val="bottom"/>
          </w:tcPr>
          <w:p>
            <w:pPr>
              <w:spacing w:after="0"/>
              <w:rPr>
                <w:sz w:val="14"/>
                <w:szCs w:val="14"/>
                <w:color w:val="auto"/>
              </w:rPr>
            </w:pPr>
          </w:p>
        </w:tc>
        <w:tc>
          <w:tcPr>
            <w:tcW w:w="24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25,472,719</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24,571,271</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24,679,133</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24,667,895</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901,448</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793,586</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808,866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Total deposits of $21.629 billion at June 30, 2025 increased $994 million, or 5 percent, from the prior quarter and increased $1.527 billion, or 8 percent, from the prior year second quarter. Non-interest bearing deposits of $6.594 billion increased $493 million, or 8 percent, from the prior quarter and organically increased $222 million, or 4 percent, from the prior quarter. Total repurchase agreements of $1.976 billion at June 30, 2025 increased $127 million, or 7 percent, from the prior quarter and increased $347 million, or 21 percent, from the prior year second quarter. Excluding acquisitions, total deposits and repurchase agreements organically increased $43 million, or 1 percent annualized, from the prior quarter and increased $394 million, or 2 percent, from the prior year second quarter. Non-interest bearing deposits represented 30 percent of total deposits at each of June 30, 2025, December 31, 2024 and June 30, 2024.</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Subordinated debentures of $157 million, increased $24.0 million, or 18 percent, during the current quarter as a result of the acquisition of BOID. Federal Home Loan Bank (“FHLB”) advances of $1.255 billion decreased $265 million, or 17 percent, from the prior quarter and decreased $1.095 billion, or 47 percent, from the prior year second quarter. See “Additional Management’s Discussion and Analysis - Source of Funds - Borrowers” for additional information regarding borrowings.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stockholders’ equity balances as of the dates indicated: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Change from</w:t>
            </w:r>
          </w:p>
        </w:tc>
        <w:tc>
          <w:tcPr>
            <w:tcW w:w="11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28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280" w:type="dxa"/>
            <w:vAlign w:val="bottom"/>
            <w:gridSpan w:val="2"/>
          </w:tcPr>
          <w:p>
            <w:pPr>
              <w:jc w:val="right"/>
              <w:ind w:right="48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28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220" w:type="dxa"/>
            <w:vAlign w:val="bottom"/>
          </w:tcPr>
          <w:p>
            <w:pPr>
              <w:spacing w:after="0"/>
              <w:rPr>
                <w:sz w:val="11"/>
                <w:szCs w:val="11"/>
                <w:color w:val="auto"/>
              </w:rPr>
            </w:pPr>
          </w:p>
        </w:tc>
        <w:tc>
          <w:tcPr>
            <w:tcW w:w="106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2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18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4"/>
                <w:szCs w:val="14"/>
                <w:color w:val="auto"/>
              </w:rPr>
              <w:t>Jun 30,</w:t>
            </w: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 except per share data)</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18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18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18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18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3,770,919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3,550,719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3,468,333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3,492,096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220,200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302,586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278,823</w:t>
            </w:r>
          </w:p>
        </w:tc>
      </w:tr>
      <w:tr>
        <w:trPr>
          <w:trHeight w:val="180"/>
        </w:trPr>
        <w:tc>
          <w:tcPr>
            <w:tcW w:w="2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(263,111)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(244,479)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(354,651)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24,456</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5,824</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115,996</w:t>
            </w:r>
          </w:p>
        </w:tc>
      </w:tr>
      <w:tr>
        <w:trPr>
          <w:trHeight w:val="171"/>
        </w:trPr>
        <w:tc>
          <w:tcPr>
            <w:tcW w:w="2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3,532,264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3,287,608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3,223,854</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3,137,445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244,656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308,410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394,819</w:t>
            </w:r>
          </w:p>
        </w:tc>
      </w:tr>
      <w:tr>
        <w:trPr>
          <w:trHeight w:val="180"/>
        </w:trPr>
        <w:tc>
          <w:tcPr>
            <w:tcW w:w="2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Goodwill and core deposit intangible, net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(1,186,350)</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(1,099,229)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(1,102,500)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(1,066,790)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(87,121)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(83,850)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(119,560)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Tangible stockholders’ equity</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2,345,914</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2,188,379</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2,121,354</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2,070,655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157,535</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224,560</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equity to total assets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12.18 %</w:t>
            </w: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11.55 %</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11.28 %</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38"/>
        </w:trPr>
        <w:tc>
          <w:tcPr>
            <w:tcW w:w="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Tangible stockholders’ equity to total</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91"/>
        </w:trPr>
        <w:tc>
          <w:tcPr>
            <w:tcW w:w="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tangible assets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8.43 %</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8.18 %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7.92 %</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7.74 %</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Book value per common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5"/>
                <w:szCs w:val="15"/>
                <w:color w:val="auto"/>
              </w:rPr>
            </w:pP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29.80</w:t>
            </w:r>
          </w:p>
        </w:tc>
        <w:tc>
          <w:tcPr>
            <w:tcW w:w="80" w:type="dxa"/>
            <w:vAlign w:val="bottom"/>
          </w:tcPr>
          <w:p>
            <w:pPr>
              <w:spacing w:after="0"/>
              <w:rPr>
                <w:sz w:val="15"/>
                <w:szCs w:val="15"/>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0.84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80"/>
        </w:trPr>
        <w:tc>
          <w:tcPr>
            <w:tcW w:w="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19.79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19.28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bl>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Tangible stockholders’ equity of $2.346 billion at June 30, 2025 increased $158 million, or 7 percent, compared to the prior quarter and was primarily due to $205 million of Company stock issued in connection with the acquisition of BOID, and was partially offset by the increase in goodwill and core deposits associated with the BOID acquisition. Tangible book value per common share of $19.79 at the current quarter end increased $0.51 per share, or 3 percent, from the prior quarter and increased $1.53 per share, or 8 percent, from the prior year second quarter.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Dividend</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24, 2025, the Company’s Board of Directors declared a quarterly cash dividend of $0.33 per share. The dividend was payable July 17, 2025 to shareholders of record on July 8, 2025. The dividend was the Company’s 161st consecutive regular dividend. Future cash dividends will depend on a variety of factors, including net income, capital, asset quality, general economic conditions and regulatory considerations.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55" w:name="page56"/>
    <w:bookmarkEnd w:id="55"/>
    <w:p>
      <w:pPr>
        <w:ind w:left="3880"/>
        <w:spacing w:after="0"/>
        <w:rPr>
          <w:sz w:val="20"/>
          <w:szCs w:val="20"/>
          <w:color w:val="auto"/>
        </w:rPr>
      </w:pPr>
      <w:r>
        <w:rPr>
          <w:rFonts w:ascii="Times New Roman" w:cs="Times New Roman" w:eastAsia="Times New Roman" w:hAnsi="Times New Roman"/>
          <w:sz w:val="14"/>
          <w:szCs w:val="14"/>
          <w:b w:val="1"/>
          <w:bCs w:val="1"/>
          <w:color w:val="auto"/>
        </w:rPr>
        <w:t>Operating Results for Three Months Ended June 30, 2025</w:t>
      </w:r>
    </w:p>
    <w:p>
      <w:pPr>
        <w:spacing w:after="0" w:line="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Compared to March 31, 2025, and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Summary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income for the periods indicated:</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 Change from</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10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08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980" w:type="dxa"/>
            <w:vAlign w:val="bottom"/>
          </w:tcPr>
          <w:p>
            <w:pPr>
              <w:jc w:val="right"/>
              <w:ind w:right="209"/>
              <w:spacing w:after="0" w:line="129" w:lineRule="exact"/>
              <w:rPr>
                <w:sz w:val="20"/>
                <w:szCs w:val="20"/>
                <w:color w:val="auto"/>
              </w:rPr>
            </w:pPr>
            <w:r>
              <w:rPr>
                <w:rFonts w:ascii="Times New Roman" w:cs="Times New Roman" w:eastAsia="Times New Roman" w:hAnsi="Times New Roman"/>
                <w:sz w:val="14"/>
                <w:szCs w:val="14"/>
                <w:color w:val="auto"/>
              </w:rPr>
              <w:t>Jun 30,</w:t>
            </w:r>
          </w:p>
        </w:tc>
      </w:tr>
      <w:tr>
        <w:trPr>
          <w:trHeight w:val="149"/>
        </w:trPr>
        <w:tc>
          <w:tcPr>
            <w:tcW w:w="20" w:type="dxa"/>
            <w:vAlign w:val="bottom"/>
          </w:tcPr>
          <w:p>
            <w:pPr>
              <w:spacing w:after="0"/>
              <w:rPr>
                <w:sz w:val="12"/>
                <w:szCs w:val="1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2"/>
                <w:szCs w:val="12"/>
                <w:color w:val="auto"/>
              </w:rPr>
            </w:pPr>
          </w:p>
        </w:tc>
        <w:tc>
          <w:tcPr>
            <w:tcW w:w="880" w:type="dxa"/>
            <w:vAlign w:val="bottom"/>
          </w:tcPr>
          <w:p>
            <w:pPr>
              <w:jc w:val="right"/>
              <w:ind w:right="3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20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c>
          <w:tcPr>
            <w:tcW w:w="1100" w:type="dxa"/>
            <w:vAlign w:val="bottom"/>
          </w:tcPr>
          <w:p>
            <w:pPr>
              <w:jc w:val="right"/>
              <w:ind w:right="34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80" w:type="dxa"/>
            <w:vAlign w:val="bottom"/>
            <w:gridSpan w:val="2"/>
          </w:tcPr>
          <w:p>
            <w:pPr>
              <w:jc w:val="right"/>
              <w:ind w:right="2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98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308,115</w:t>
            </w:r>
          </w:p>
        </w:tc>
        <w:tc>
          <w:tcPr>
            <w:tcW w:w="12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289,925</w:t>
            </w:r>
          </w:p>
        </w:tc>
        <w:tc>
          <w:tcPr>
            <w:tcW w:w="1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273,834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18,190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34,281</w:t>
            </w:r>
          </w:p>
        </w:tc>
      </w:tr>
      <w:tr>
        <w:trPr>
          <w:trHeight w:val="180"/>
        </w:trPr>
        <w:tc>
          <w:tcPr>
            <w:tcW w:w="2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100,499</w:t>
            </w:r>
          </w:p>
        </w:tc>
        <w:tc>
          <w:tcPr>
            <w:tcW w:w="1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99,946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107,356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w:t>
            </w:r>
          </w:p>
        </w:tc>
      </w:tr>
      <w:tr>
        <w:trPr>
          <w:trHeight w:val="171"/>
        </w:trPr>
        <w:tc>
          <w:tcPr>
            <w:tcW w:w="20" w:type="dxa"/>
            <w:vAlign w:val="bottom"/>
          </w:tcPr>
          <w:p>
            <w:pPr>
              <w:spacing w:after="0"/>
              <w:rPr>
                <w:sz w:val="14"/>
                <w:szCs w:val="14"/>
                <w:color w:val="auto"/>
              </w:rPr>
            </w:pPr>
          </w:p>
        </w:tc>
        <w:tc>
          <w:tcPr>
            <w:tcW w:w="55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net interest income</w:t>
            </w: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207,616</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189,979</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166,478</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17,637</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41,138</w:t>
            </w:r>
          </w:p>
        </w:tc>
      </w:tr>
      <w:tr>
        <w:trPr>
          <w:trHeight w:val="180"/>
        </w:trPr>
        <w:tc>
          <w:tcPr>
            <w:tcW w:w="2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Service charges and other fees</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20,405</w:t>
            </w:r>
          </w:p>
        </w:tc>
        <w:tc>
          <w:tcPr>
            <w:tcW w:w="12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18,818</w:t>
            </w:r>
          </w:p>
        </w:tc>
        <w:tc>
          <w:tcPr>
            <w:tcW w:w="1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19,422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r>
      <w:tr>
        <w:trPr>
          <w:trHeight w:val="180"/>
        </w:trPr>
        <w:tc>
          <w:tcPr>
            <w:tcW w:w="2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Miscellaneous loan fees and charges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5,067</w:t>
            </w:r>
          </w:p>
        </w:tc>
        <w:tc>
          <w:tcPr>
            <w:tcW w:w="1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4,821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80"/>
        </w:trPr>
        <w:tc>
          <w:tcPr>
            <w:tcW w:w="20" w:type="dxa"/>
            <w:vAlign w:val="bottom"/>
          </w:tcPr>
          <w:p>
            <w:pPr>
              <w:spacing w:after="0"/>
              <w:rPr>
                <w:sz w:val="15"/>
                <w:szCs w:val="15"/>
                <w:color w:val="auto"/>
              </w:rPr>
            </w:pPr>
          </w:p>
        </w:tc>
        <w:tc>
          <w:tcPr>
            <w:tcW w:w="5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Gain on sale of loans</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4,273</w:t>
            </w:r>
          </w:p>
        </w:tc>
        <w:tc>
          <w:tcPr>
            <w:tcW w:w="12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4,311</w:t>
            </w:r>
          </w:p>
        </w:tc>
        <w:tc>
          <w:tcPr>
            <w:tcW w:w="1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180"/>
        </w:trPr>
        <w:tc>
          <w:tcPr>
            <w:tcW w:w="2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investments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20" w:type="dxa"/>
            <w:vAlign w:val="bottom"/>
          </w:tcPr>
          <w:p>
            <w:pPr>
              <w:spacing w:after="0"/>
              <w:rPr>
                <w:sz w:val="15"/>
                <w:szCs w:val="15"/>
                <w:color w:val="auto"/>
              </w:rPr>
            </w:pPr>
          </w:p>
        </w:tc>
        <w:tc>
          <w:tcPr>
            <w:tcW w:w="5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3,199</w:t>
            </w:r>
          </w:p>
        </w:tc>
        <w:tc>
          <w:tcPr>
            <w:tcW w:w="12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4,849</w:t>
            </w:r>
          </w:p>
        </w:tc>
        <w:tc>
          <w:tcPr>
            <w:tcW w:w="1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56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32,944</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32,642</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32,204</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171"/>
        </w:trPr>
        <w:tc>
          <w:tcPr>
            <w:tcW w:w="20" w:type="dxa"/>
            <w:vAlign w:val="bottom"/>
          </w:tcPr>
          <w:p>
            <w:pPr>
              <w:spacing w:after="0"/>
              <w:rPr>
                <w:sz w:val="14"/>
                <w:szCs w:val="14"/>
                <w:color w:val="auto"/>
              </w:rPr>
            </w:pPr>
          </w:p>
        </w:tc>
        <w:tc>
          <w:tcPr>
            <w:tcW w:w="55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income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240,560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222,621</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198,682</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17,939</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margin (tax-equivalent)</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Net interest income of $208 million for the current quarter increased $17.6 million, or 9 percent, from the prior quarter net interest income of $190 million and increased $41.1 million, or 25 percent, from the prior year second quarter net interest income of $166 million. The current quarter interest income of $308 million increased $18.2 million, or 6 percent, over the prior quarter and increased $34.3 million, or 13 percent, over the prior year second quarter, both increases primarily due to the increase in the loan yields and the increase in average balances of the loan portfolio. The loan yield of 5.86 percent in the current quarter increased 9 basis points from the prior quarter loan yield of 5.77 percent and increased 28 basis points from the prior year second quarter loan yield of 5.58 percent.</w:t>
      </w:r>
    </w:p>
    <w:p>
      <w:pPr>
        <w:spacing w:after="0" w:line="3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current quarter interest expense of $100 million increased $553 thousand or 55 basis points, over the prior quarter primarily due to an increase in average deposit balances. The current quarter interest expense decreased $6.9 million, or 6 percent, over the prior year second quarter and was primarily the result of lower average wholesale borrowings and a decrease in deposit costs. Core deposit cost (including non-interest bearing deposits) was 1.25 percent for both the current and prior quarters compared to 1.36 percent in the prior year second quarter. The total cost of funding (including non-interest bearing deposits) of 1.63 percent in the current quarter decreased 5 basis points from the prior quarter and decreased 17 basis points from the prior year second quarter.</w:t>
      </w:r>
    </w:p>
    <w:p>
      <w:pPr>
        <w:spacing w:after="0" w:line="1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net interest margin as a percentage of earning assets, on a tax-equivalent basis, for the current quarter was 3.21 percent, an increase of 17 basis points from the prior quarter net interest margin of 3.04 percent and was primarily driven by an increase in loan yields and a decrease in total cost of funding. The net interest margin as a percentage of earning assets, on a tax-equivalent basis, for the current quarter was an increase of 53 basis points from the prior year second quarter net interest margin of 2.68 percent and was also primarily driven by the increase in loan yields and the decrease in total cost of funding. Core net interest margin excludes the impact from discount accretion and non-accrual interest. Excluding the 3 basis points from discount accretion, the core net interest margin was 3.18 percent in the current quarter compared to 2.99 percent in the prior quarter and 2.63 in the prior year second quarter.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Non-interest income for the current quarter totaled $32.9 million, which was an increase of $302 thousand, or 1 percent, over the prior quarter and an increase of $740 thousand, or 2 percent, over the prior year second quarter. Service charges and other fees of $20.4 million for the current quarter increased $1.6 million, or 8 percent, compared to the prior quarter and increased $983 thousand, or 5 percent, compared to the prior year second quarter. Gain on the sale of residential loans of $4.3 million for the current quarter decreased $38 thousand, or 88 basis points, compared to the prior quarter and decreased $396 thousand, or 8 percent, from the prior year second quarter. Other income of $3.2 million decreased $1.7 million, or 34 percent, over the prior quarter primarily due to other income of $1.1 million related to bank owned life insurance proceeds in the prior quarter.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non-interest expense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 Change from</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1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02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10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00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rPr>
              <w:t>Jun 30,</w:t>
            </w: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800" w:type="dxa"/>
            <w:vAlign w:val="bottom"/>
          </w:tcPr>
          <w:p>
            <w:pPr>
              <w:jc w:val="right"/>
              <w:ind w:right="2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020" w:type="dxa"/>
            <w:vAlign w:val="bottom"/>
          </w:tcPr>
          <w:p>
            <w:pPr>
              <w:jc w:val="right"/>
              <w:ind w:right="28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000" w:type="dxa"/>
            <w:vAlign w:val="bottom"/>
          </w:tcPr>
          <w:p>
            <w:pPr>
              <w:jc w:val="right"/>
              <w:ind w:right="2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000" w:type="dxa"/>
            <w:vAlign w:val="bottom"/>
          </w:tcPr>
          <w:p>
            <w:pPr>
              <w:jc w:val="right"/>
              <w:ind w:right="28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94,355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9,921</w:t>
            </w:r>
          </w:p>
        </w:tc>
      </w:tr>
      <w:tr>
        <w:trPr>
          <w:trHeight w:val="180"/>
        </w:trPr>
        <w:tc>
          <w:tcPr>
            <w:tcW w:w="2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Occupancy and equipment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12,294</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Advertising and promotions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2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0"/>
        </w:trPr>
        <w:tc>
          <w:tcPr>
            <w:tcW w:w="2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Regulatory assessments and insurance</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Intangibles amortization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r>
      <w:tr>
        <w:trPr>
          <w:trHeight w:val="180"/>
        </w:trPr>
        <w:tc>
          <w:tcPr>
            <w:tcW w:w="2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25,432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22,616</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non-interest expense of $155 million for the current quarter increased $3.8 million, or 3 percent, over the prior quarter and increased $14.2 million, or 10 percent, over the prior year second quarter. Compensation and employee benefits of $94.4 million increased by $2.9 million, or 3 percent, over the prior quarter primarily attributable to increased costs from the BOID acquisition. Compensation and employee benefits increased $9.9 million, or 12 percent, from the prior year second quarter and was primarily driven by annual salary increases and increases in staffing levels from current and prior year acquisitions.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expenses of $24.4 million decreased $1.0 million, or 4 percent, from the prior quarter and increased $1.8 million, or 8 percent, from the prior year second quarter. Acquisition-related expense was $3.2 million in the current quarter compared to $587 thousand in the prior quarter and $1.8 million in the prior year second quarter. The current quarter other expenses included $1.6 million of gain from the sale of a former branch facility compared to a $1.2 million gain in the prior quarter and a $2.0 million gain in the prior year second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Efficiency Ratio</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efficiency ratio was 62.08 percent in the current quarter compared to 65.49 percent in the prior quarter and 67.97 percent in the prior year second quarter. The decrease from the prior quarter and the prior year second quarter was principally driven by the increase in net interest income which outpaced the increase in non-interest expense.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Provision for Credit Losses for Loans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provision for credit losses for loans, net charge-offs and select ratios relating to provision for credit losses for the previous eight quarters: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Accruing</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Allowance for</w:t>
            </w:r>
          </w:p>
        </w:tc>
        <w:tc>
          <w:tcPr>
            <w:tcW w:w="1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Loans 30-89</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Non-Performing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Credit Losses</w:t>
            </w:r>
          </w:p>
        </w:tc>
        <w:tc>
          <w:tcPr>
            <w:tcW w:w="16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9"/>
              </w:rPr>
              <w:t>Days Past Due</w:t>
            </w: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Provision for Credit</w:t>
            </w:r>
          </w:p>
        </w:tc>
        <w:tc>
          <w:tcPr>
            <w:tcW w:w="14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Net Charge-Offs</w:t>
            </w:r>
          </w:p>
        </w:tc>
        <w:tc>
          <w:tcPr>
            <w:tcW w:w="1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as a Percent</w:t>
            </w:r>
          </w:p>
        </w:tc>
        <w:tc>
          <w:tcPr>
            <w:tcW w:w="1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as a Percent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Assets to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1"/>
                <w:szCs w:val="11"/>
                <w:color w:val="auto"/>
              </w:rPr>
            </w:pPr>
          </w:p>
        </w:tc>
        <w:tc>
          <w:tcPr>
            <w:tcW w:w="13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color w:val="auto"/>
              </w:rPr>
              <w:t>Losses on Loans</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color w:val="auto"/>
              </w:rPr>
              <w:t>(Recoveries)</w:t>
            </w:r>
          </w:p>
        </w:tc>
        <w:tc>
          <w:tcPr>
            <w:tcW w:w="16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of Loans</w:t>
            </w:r>
          </w:p>
        </w:tc>
        <w:tc>
          <w:tcPr>
            <w:tcW w:w="16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Loans</w:t>
            </w:r>
          </w:p>
        </w:tc>
        <w:tc>
          <w:tcPr>
            <w:tcW w:w="1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color w:val="auto"/>
              </w:rPr>
              <w:t>Total Sub-sidiary Assets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0.29 %</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quarter 2025</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 2024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quarter 2024</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0.33 %</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0.29 %</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quarter 2024</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0.37 %</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 2023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0.31 %</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quarter 2023</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charge-offs for the current quarter were $1.6 million compared to $1.8 million in the prior quarter and $2.9 million for the prior year second quarter. The current quarter net charge-offs included $1.5 million in deposit overdraft net charge-offs and $111 thousand of net loan charge-offs.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current quarter provision for credit loss expense of $20.3 million included $14.6 million of credit loss expense on loans and $2.1 million of credit loss expense on unfunded loan commitments from the acquisition of BOID. Excluding the acquisition of BOID, the current quarter credit loss expense was $3.6 million, including $3.4 million of credit loss expense on loans and $159 thousand of credit loss expense on unfunded commitments.</w:t>
      </w:r>
    </w:p>
    <w:p>
      <w:pPr>
        <w:spacing w:after="0" w:line="1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allowance for credit losses (“ACL”) on loans as a percentage of total loans outstanding at June 30, 2025 and March 31, 2025 was 1.22 percent compared to 1.19 percent at June 30, 2024. Loan portfolio growth, composition, average loan size, credit quality considerations, economic forecasts, actual results, and other environmental factors will continue to determine the level of the provision for credit losses for loans. The determination of the ACL on loans and the related provision for credit losses is a critical accounting estimate that involves management’s judgments about the loan portfolio that impact credit losses. For additional information on the allowance, see the Allowance For Credit Losses section under “Additional 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Operating Results for Six Months Ended June 30, 2025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Compared to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Summary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income for the periods indicated: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color w:val="auto"/>
              </w:rPr>
              <w:t>Six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3"/>
          </w:tcPr>
          <w:p>
            <w:pPr>
              <w:ind w:left="22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980" w:type="dxa"/>
            <w:vAlign w:val="bottom"/>
          </w:tcPr>
          <w:p>
            <w:pPr>
              <w:jc w:val="right"/>
              <w:ind w:right="46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2"/>
                <w:szCs w:val="12"/>
                <w:color w:val="auto"/>
              </w:rPr>
            </w:pPr>
          </w:p>
        </w:tc>
        <w:tc>
          <w:tcPr>
            <w:tcW w:w="1180" w:type="dxa"/>
            <w:vAlign w:val="bottom"/>
          </w:tcPr>
          <w:p>
            <w:pPr>
              <w:jc w:val="right"/>
              <w:ind w:right="549"/>
              <w:spacing w:after="0" w:line="12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right"/>
              <w:ind w:right="52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380" w:type="dxa"/>
            <w:vAlign w:val="bottom"/>
          </w:tcPr>
          <w:p>
            <w:pPr>
              <w:jc w:val="right"/>
              <w:ind w:right="349"/>
              <w:spacing w:after="0" w:line="129"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2"/>
                <w:szCs w:val="12"/>
                <w:color w:val="auto"/>
              </w:rPr>
            </w:pPr>
          </w:p>
        </w:tc>
        <w:tc>
          <w:tcPr>
            <w:tcW w:w="1500" w:type="dxa"/>
            <w:vAlign w:val="bottom"/>
          </w:tcPr>
          <w:p>
            <w:pPr>
              <w:jc w:val="right"/>
              <w:ind w:right="389"/>
              <w:spacing w:after="0" w:line="129"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598,040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553,236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44,804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20" w:type="dxa"/>
            <w:vAlign w:val="bottom"/>
            <w:shd w:val="clear" w:color="auto" w:fill="CCEEFF"/>
          </w:tcPr>
          <w:p>
            <w:pPr>
              <w:spacing w:after="0"/>
              <w:rPr>
                <w:sz w:val="15"/>
                <w:szCs w:val="15"/>
                <w:color w:val="auto"/>
              </w:rPr>
            </w:pPr>
          </w:p>
        </w:tc>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200,445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220,278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20" w:type="dxa"/>
            <w:vAlign w:val="bottom"/>
          </w:tcPr>
          <w:p>
            <w:pPr>
              <w:spacing w:after="0"/>
              <w:rPr>
                <w:sz w:val="14"/>
                <w:szCs w:val="14"/>
                <w:color w:val="auto"/>
              </w:rPr>
            </w:pPr>
          </w:p>
        </w:tc>
        <w:tc>
          <w:tcPr>
            <w:tcW w:w="51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net interest income</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397,595</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332,958</w:t>
            </w:r>
          </w:p>
        </w:tc>
        <w:tc>
          <w:tcPr>
            <w:tcW w:w="100" w:type="dxa"/>
            <w:vAlign w:val="bottom"/>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64,637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20" w:type="dxa"/>
            <w:vAlign w:val="bottom"/>
            <w:shd w:val="clear" w:color="auto" w:fill="CCEEFF"/>
          </w:tcPr>
          <w:p>
            <w:pPr>
              <w:spacing w:after="0"/>
              <w:rPr>
                <w:sz w:val="15"/>
                <w:szCs w:val="15"/>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Service charges and other fees</w:t>
            </w:r>
          </w:p>
        </w:tc>
        <w:tc>
          <w:tcPr>
            <w:tcW w:w="320" w:type="dxa"/>
            <w:vAlign w:val="bottom"/>
          </w:tcPr>
          <w:p>
            <w:pPr>
              <w:spacing w:after="0"/>
              <w:rPr>
                <w:sz w:val="15"/>
                <w:szCs w:val="15"/>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39,223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37,985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20" w:type="dxa"/>
            <w:vAlign w:val="bottom"/>
            <w:shd w:val="clear" w:color="auto" w:fill="CCEEFF"/>
          </w:tcPr>
          <w:p>
            <w:pPr>
              <w:spacing w:after="0"/>
              <w:rPr>
                <w:sz w:val="15"/>
                <w:szCs w:val="15"/>
                <w:color w:val="auto"/>
              </w:rPr>
            </w:pPr>
          </w:p>
        </w:tc>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Miscellaneous loan fees and charges</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9,183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20" w:type="dxa"/>
            <w:vAlign w:val="bottom"/>
          </w:tcPr>
          <w:p>
            <w:pPr>
              <w:spacing w:after="0"/>
              <w:rPr>
                <w:sz w:val="15"/>
                <w:szCs w:val="15"/>
                <w:color w:val="auto"/>
              </w:rPr>
            </w:pP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Gain on sale of loans</w:t>
            </w:r>
          </w:p>
        </w:tc>
        <w:tc>
          <w:tcPr>
            <w:tcW w:w="320" w:type="dxa"/>
            <w:vAlign w:val="bottom"/>
          </w:tcPr>
          <w:p>
            <w:pPr>
              <w:spacing w:after="0"/>
              <w:rPr>
                <w:sz w:val="15"/>
                <w:szCs w:val="15"/>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8,584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20" w:type="dxa"/>
            <w:vAlign w:val="bottom"/>
            <w:shd w:val="clear" w:color="auto" w:fill="CCEEFF"/>
          </w:tcPr>
          <w:p>
            <w:pPr>
              <w:spacing w:after="0"/>
              <w:rPr>
                <w:sz w:val="15"/>
                <w:szCs w:val="15"/>
                <w:color w:val="auto"/>
              </w:rPr>
            </w:pPr>
          </w:p>
        </w:tc>
        <w:tc>
          <w:tcPr>
            <w:tcW w:w="5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debt securities</w:t>
            </w:r>
          </w:p>
        </w:tc>
        <w:tc>
          <w:tcPr>
            <w:tcW w:w="32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20" w:type="dxa"/>
            <w:vAlign w:val="bottom"/>
          </w:tcPr>
          <w:p>
            <w:pPr>
              <w:spacing w:after="0"/>
              <w:rPr>
                <w:sz w:val="15"/>
                <w:szCs w:val="15"/>
                <w:color w:val="auto"/>
              </w:rPr>
            </w:pP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Pr>
          <w:p>
            <w:pPr>
              <w:spacing w:after="0"/>
              <w:rPr>
                <w:sz w:val="15"/>
                <w:szCs w:val="15"/>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6,990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1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65,586</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62,193</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16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1"/>
        </w:trPr>
        <w:tc>
          <w:tcPr>
            <w:tcW w:w="20" w:type="dxa"/>
            <w:vAlign w:val="bottom"/>
          </w:tcPr>
          <w:p>
            <w:pPr>
              <w:spacing w:after="0"/>
              <w:rPr>
                <w:sz w:val="14"/>
                <w:szCs w:val="14"/>
                <w:color w:val="auto"/>
              </w:rPr>
            </w:pPr>
          </w:p>
        </w:tc>
        <w:tc>
          <w:tcPr>
            <w:tcW w:w="51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income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463,181</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395,151</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margin (tax-equivalent)</w:t>
            </w: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Net-interest income of $398 million for the first half of 2025 increased $64.6 million, or 19 percent, from the prior year and was primarily driven by increased interest income and decreased interest expense. Interest income of $598 million for the first half of 2025 increased $44.8 million, or 8 percent, from the prior year and was primarily attributable to the increase in the loan portfolio and an increase in loan yields. The loan yield was 5.82 percent during the first half of 2025, an increase of 30 basis points from the prior year first half loan yield of 5.52 percent.</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expense of $200 million for the first half of 2025 decreased $19.8 million, or 9 percent, over the same period in the prior year and was primarily the result of lower interest rates on deposits and a decreases in higher cost borrowings. Core deposit cost (including non-interest bearing deposits) was 1.25 percent for the first half of 2025, which was a decrease of 10 basis points over the first half of the prior year core deposit costs of 1.35 percent. The total funding cost (including non-interest bearing deposits) for the first half of 2025 was 1.65 percent, which was a decrease of 17 basis points over the first half of the prior year funding cost of 1.82 percent.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net interest margin as a percentage of earning assets, on a tax-equivalent basis, during the first half of 2025 was 3.12 percent, a 48 basis points increase from 2.64 percent for the first half of the prior year. Excluding the 4 basis points from discount accretion, the core net interest margin was 3.08 percent in the first half of the current year compared to 2.60 percent in the prior year first half. The increase in net interest margin from the prior year was primarily driven by increased loan yields and decreased funding costs combined with a shift in earning asset mix to higher yielding loans and a shift in funding liabilities to lower cost deposits.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p>
      <w:pPr>
        <w:spacing w:after="0" w:line="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Non-interest income of $65.6 million for the first half of 2025 increased $3.4 million, or 5 percent, over the same period in the prior year. Service charges and other fees of $39.2 million for the first half of 2025 increased $1.2 million, or 3 percent, over the first half of the prior year. Gain on sale of residential loans of $8.6 million for the first half of 2025 increased by $553 thousand, or 7 percent, over the first half of the prior year. Other income of $8.0 million for the first half of 2025 increased $1.1 million over the prior year first half and was primarily due to other income of $1.1 million related to bank owned life insurance proceeds in the current year.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non-interest expense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Six Months ended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4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00" w:type="dxa"/>
            <w:vAlign w:val="bottom"/>
          </w:tcPr>
          <w:p>
            <w:pPr>
              <w:jc w:val="right"/>
              <w:ind w:right="429"/>
              <w:spacing w:after="0" w:line="12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2"/>
                <w:szCs w:val="12"/>
                <w:color w:val="auto"/>
              </w:rPr>
            </w:pPr>
          </w:p>
        </w:tc>
        <w:tc>
          <w:tcPr>
            <w:tcW w:w="1380" w:type="dxa"/>
            <w:vAlign w:val="bottom"/>
          </w:tcPr>
          <w:p>
            <w:pPr>
              <w:jc w:val="right"/>
              <w:ind w:right="329"/>
              <w:spacing w:after="0" w:line="129"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15,575</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2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Occupancy and equipment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Advertising and promotions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2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2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Regulatory assessments and insurance</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Intangibles amortization</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20" w:type="dxa"/>
            <w:vAlign w:val="bottom"/>
            <w:tcBorders>
              <w:bottom w:val="single" w:sz="8" w:color="CCEEFF"/>
            </w:tcBorders>
          </w:tcPr>
          <w:p>
            <w:pPr>
              <w:spacing w:after="0"/>
              <w:rPr>
                <w:sz w:val="15"/>
                <w:szCs w:val="15"/>
                <w:color w:val="auto"/>
              </w:rPr>
            </w:pPr>
          </w:p>
        </w:tc>
        <w:tc>
          <w:tcPr>
            <w:tcW w:w="5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8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306,437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292,795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Total non-interest expense of $306 million for the first half of 2025 increased $13.6 million, or 5 percent, over the same period in the prior year. Compensation and employee benefits expense of $186 million in the first half of 2025 increased $15.6 million, or 9 percent, over the same period in the prior year and was primarily driven by annual salary increases and staffing increases from acquisitions. Regulatory assessment and insurance expense of $11.4 million for the first half of 2025 decreased $1.8 million, or 13 percent, from the prior year first half primarily as a result of adjustments to the FDIC special assessment. Other expenses of $49.9 million for the first half of 2025 decreased $3.2 million, or 6 percent, from the first half of the prior year and was primarily driven by an decrease of $3.7 million of acquisition-related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Efficiency Ratio</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efficiency ratio was 63.72 percent for the first half of 2025 compared to 71.17 percent for the same period of 2024. The decrease from the prior year was primarily attributable to the increase in net interest income that outpaced the increase in non-interest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provision for credit loss expense was $28.1 million for the first half of 2025, an increase of $16.3 million, or 139 percent, over the same period in the prior year. Included in the current year provision for credit losses was $16.7 million from the acquisition of BOID and included in the prior year was $5.3 million from the acquisition of Wheatland Bank. Net charge-offs for the first half of 2025 were $3.4 million compared to $6.0 million in the first half of 2024.</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ADDITIONAL MANAGEMENT’S DISCUSSION AND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Activity</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Company’s investment securities primarily consist of debt securities classified as either available-for-sale or held-to-maturity. Non-marketable equity securities primarily consist of capital stock issued by the FHLB of Des Moines.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Securities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Debt securities classified as available-for-sale are carried at estimated fair value and debt securities classified as held-to-maturity are carried at amortized cost. Unrealized gains or losses, net of tax, on available-for-sale debt securities are reflected as an adjustment to other comprehensive income. The Company’s debt securities are summarized below:</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9"/>
              </w:rPr>
              <w:t>June 30, 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6"/>
                <w:szCs w:val="16"/>
                <w:color w:val="auto"/>
              </w:rPr>
            </w:pPr>
          </w:p>
        </w:tc>
        <w:tc>
          <w:tcPr>
            <w:tcW w:w="15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June 30, 2024</w:t>
            </w:r>
          </w:p>
        </w:tc>
        <w:tc>
          <w:tcPr>
            <w:tcW w:w="82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36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Carrying Amount</w:t>
            </w:r>
          </w:p>
        </w:tc>
        <w:tc>
          <w:tcPr>
            <w:tcW w:w="840" w:type="dxa"/>
            <w:vAlign w:val="bottom"/>
            <w:tcBorders>
              <w:top w:val="single" w:sz="8" w:color="auto"/>
            </w:tcBorders>
          </w:tcPr>
          <w:p>
            <w:pPr>
              <w:jc w:val="right"/>
              <w:ind w:right="310"/>
              <w:spacing w:after="0" w:line="118" w:lineRule="exact"/>
              <w:rPr>
                <w:sz w:val="20"/>
                <w:szCs w:val="20"/>
                <w:color w:val="auto"/>
              </w:rPr>
            </w:pPr>
            <w:r>
              <w:rPr>
                <w:rFonts w:ascii="Times New Roman" w:cs="Times New Roman" w:eastAsia="Times New Roman" w:hAnsi="Times New Roman"/>
                <w:sz w:val="13"/>
                <w:szCs w:val="13"/>
                <w:color w:val="auto"/>
              </w:rPr>
              <w:t>Percent</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Carrying Amount</w:t>
            </w:r>
          </w:p>
        </w:tc>
        <w:tc>
          <w:tcPr>
            <w:tcW w:w="1200" w:type="dxa"/>
            <w:vAlign w:val="bottom"/>
            <w:tcBorders>
              <w:top w:val="single" w:sz="8" w:color="auto"/>
            </w:tcBorders>
          </w:tcPr>
          <w:p>
            <w:pPr>
              <w:jc w:val="right"/>
              <w:ind w:right="310"/>
              <w:spacing w:after="0" w:line="118" w:lineRule="exact"/>
              <w:rPr>
                <w:sz w:val="20"/>
                <w:szCs w:val="20"/>
                <w:color w:val="auto"/>
              </w:rPr>
            </w:pPr>
            <w:r>
              <w:rPr>
                <w:rFonts w:ascii="Times New Roman" w:cs="Times New Roman" w:eastAsia="Times New Roman" w:hAnsi="Times New Roman"/>
                <w:sz w:val="13"/>
                <w:szCs w:val="13"/>
                <w:color w:val="auto"/>
              </w:rPr>
              <w:t>Percent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Carrying Amount</w:t>
            </w:r>
          </w:p>
        </w:tc>
        <w:tc>
          <w:tcPr>
            <w:tcW w:w="820" w:type="dxa"/>
            <w:vAlign w:val="bottom"/>
            <w:tcBorders>
              <w:top w:val="single" w:sz="8" w:color="auto"/>
            </w:tcBorders>
          </w:tcPr>
          <w:p>
            <w:pPr>
              <w:jc w:val="right"/>
              <w:ind w:right="310"/>
              <w:spacing w:after="0" w:line="118" w:lineRule="exact"/>
              <w:rPr>
                <w:sz w:val="20"/>
                <w:szCs w:val="20"/>
                <w:color w:val="auto"/>
              </w:rPr>
            </w:pPr>
            <w:r>
              <w:rPr>
                <w:rFonts w:ascii="Times New Roman" w:cs="Times New Roman" w:eastAsia="Times New Roman" w:hAnsi="Times New Roman"/>
                <w:sz w:val="13"/>
                <w:szCs w:val="13"/>
                <w:color w:val="auto"/>
              </w:rPr>
              <w:t>Percent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468,433</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20" w:type="dxa"/>
            <w:vAlign w:val="bottom"/>
          </w:tcPr>
          <w:p>
            <w:pPr>
              <w:spacing w:after="0"/>
              <w:rPr>
                <w:sz w:val="15"/>
                <w:szCs w:val="15"/>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20" w:type="dxa"/>
            <w:vAlign w:val="bottom"/>
          </w:tcPr>
          <w:p>
            <w:pPr>
              <w:spacing w:after="0"/>
              <w:rPr>
                <w:sz w:val="15"/>
                <w:szCs w:val="15"/>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2,187,864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2,355,516</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1,010,497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1,027,919</w:t>
            </w: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1,072,551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71"/>
        </w:trPr>
        <w:tc>
          <w:tcPr>
            <w:tcW w:w="20" w:type="dxa"/>
            <w:vAlign w:val="bottom"/>
          </w:tcPr>
          <w:p>
            <w:pPr>
              <w:spacing w:after="0"/>
              <w:rPr>
                <w:sz w:val="14"/>
                <w:szCs w:val="14"/>
                <w:color w:val="auto"/>
              </w:rPr>
            </w:pPr>
          </w:p>
        </w:tc>
        <w:tc>
          <w:tcPr>
            <w:tcW w:w="3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available-for-sale</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4,024,980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4,499,541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862,536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859,432</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1,600,848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1,619,850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1,636,726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2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742,749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815,565</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907,370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71"/>
        </w:trPr>
        <w:tc>
          <w:tcPr>
            <w:tcW w:w="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held-to-maturity</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3,206,133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3,400,403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20" w:type="dxa"/>
            <w:vAlign w:val="bottom"/>
          </w:tcPr>
          <w:p>
            <w:pPr>
              <w:spacing w:after="0"/>
              <w:rPr>
                <w:sz w:val="15"/>
                <w:szCs w:val="15"/>
                <w:color w:val="auto"/>
              </w:rPr>
            </w:pPr>
          </w:p>
        </w:tc>
        <w:tc>
          <w:tcPr>
            <w:tcW w:w="3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debt securities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7,231,113</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7,540,052</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7,899,944</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w:t>
      </w:r>
    </w:p>
    <w:p>
      <w:pPr>
        <w:spacing w:after="0" w:line="3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Nationally Recognized Statistical Rating Organizations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61" w:name="page62"/>
    <w:bookmarkEnd w:id="61"/>
    <w:p>
      <w:pPr>
        <w:spacing w:after="0" w:line="276" w:lineRule="auto"/>
        <w:rPr>
          <w:sz w:val="20"/>
          <w:szCs w:val="20"/>
          <w:color w:val="auto"/>
        </w:rPr>
      </w:pPr>
      <w:r>
        <w:rPr>
          <w:rFonts w:ascii="Times New Roman" w:cs="Times New Roman" w:eastAsia="Times New Roman" w:hAnsi="Times New Roman"/>
          <w:sz w:val="14"/>
          <w:szCs w:val="14"/>
          <w:color w:val="auto"/>
        </w:rPr>
        <w:t>The following table stratifies the state and local government securities by the associated NRSRO ratings. The highest issued rating was used to categorize the securities in the table for those securities where the NRSRO ratings were not at the same level.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color w:val="auto"/>
              </w:rPr>
              <w:t>June 30, 2025</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color w:val="auto"/>
              </w:rPr>
              <w:t>December 31, 2024</w:t>
            </w:r>
          </w:p>
        </w:tc>
        <w:tc>
          <w:tcPr>
            <w:tcW w:w="90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3"/>
          </w:tcPr>
          <w:p>
            <w:pPr>
              <w:jc w:val="center"/>
              <w:ind w:right="80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80" w:type="dxa"/>
            <w:vAlign w:val="bottom"/>
          </w:tcPr>
          <w:p>
            <w:pPr>
              <w:jc w:val="center"/>
              <w:ind w:right="369"/>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100" w:type="dxa"/>
            <w:vAlign w:val="bottom"/>
          </w:tcPr>
          <w:p>
            <w:pPr>
              <w:spacing w:after="0"/>
              <w:rPr>
                <w:sz w:val="11"/>
                <w:szCs w:val="11"/>
                <w:color w:val="auto"/>
              </w:rPr>
            </w:pPr>
          </w:p>
        </w:tc>
        <w:tc>
          <w:tcPr>
            <w:tcW w:w="206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00" w:type="dxa"/>
            <w:vAlign w:val="bottom"/>
          </w:tcPr>
          <w:p>
            <w:pPr>
              <w:jc w:val="right"/>
              <w:ind w:right="529"/>
              <w:spacing w:after="0" w:line="129" w:lineRule="exact"/>
              <w:rPr>
                <w:sz w:val="20"/>
                <w:szCs w:val="20"/>
                <w:color w:val="auto"/>
              </w:rPr>
            </w:pPr>
            <w:r>
              <w:rPr>
                <w:rFonts w:ascii="Times New Roman" w:cs="Times New Roman" w:eastAsia="Times New Roman" w:hAnsi="Times New Roman"/>
                <w:sz w:val="14"/>
                <w:szCs w:val="14"/>
                <w:color w:val="auto"/>
              </w:rPr>
              <w:t>Fair</w:t>
            </w: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7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10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206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90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w w:val="95"/>
              </w:rPr>
              <w:t>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S&amp;P: AAA / Moody’s: Aaa</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421,405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360,393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429,267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379,793</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S&amp;P: AA+, AA, AA- / Moody’s: Aa1, Aa2, Aa3</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1,201,776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1,011,963</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1,207,309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1,046,083</w:t>
            </w:r>
          </w:p>
        </w:tc>
      </w:tr>
      <w:tr>
        <w:trPr>
          <w:trHeight w:val="180"/>
        </w:trPr>
        <w:tc>
          <w:tcPr>
            <w:tcW w:w="20" w:type="dxa"/>
            <w:vAlign w:val="bottom"/>
            <w:shd w:val="clear" w:color="auto" w:fill="CCEEFF"/>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S&amp;P: A+, A, A- / Moody’s: A1, A2, A3</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47,345</w:t>
            </w:r>
          </w:p>
        </w:tc>
      </w:tr>
      <w:tr>
        <w:trPr>
          <w:trHeight w:val="180"/>
        </w:trPr>
        <w:tc>
          <w:tcPr>
            <w:tcW w:w="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Not rated by either entity</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6,617</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1,674,662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1,423,139</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1,691,587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 and local government securities largely consist of general obligation and revenue bonds. The following table stratifies the state and local government securities by the associated security type.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color w:val="auto"/>
              </w:rPr>
              <w:t>June 30, 2025</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color w:val="auto"/>
              </w:rPr>
              <w:t>December 31, 2024</w:t>
            </w:r>
          </w:p>
        </w:tc>
        <w:tc>
          <w:tcPr>
            <w:tcW w:w="90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3"/>
          </w:tcPr>
          <w:p>
            <w:pPr>
              <w:jc w:val="center"/>
              <w:ind w:right="80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80" w:type="dxa"/>
            <w:vAlign w:val="bottom"/>
          </w:tcPr>
          <w:p>
            <w:pPr>
              <w:jc w:val="center"/>
              <w:ind w:right="369"/>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100" w:type="dxa"/>
            <w:vAlign w:val="bottom"/>
          </w:tcPr>
          <w:p>
            <w:pPr>
              <w:spacing w:after="0"/>
              <w:rPr>
                <w:sz w:val="11"/>
                <w:szCs w:val="11"/>
                <w:color w:val="auto"/>
              </w:rPr>
            </w:pPr>
          </w:p>
        </w:tc>
        <w:tc>
          <w:tcPr>
            <w:tcW w:w="206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00" w:type="dxa"/>
            <w:vAlign w:val="bottom"/>
          </w:tcPr>
          <w:p>
            <w:pPr>
              <w:jc w:val="center"/>
              <w:ind w:right="449"/>
              <w:spacing w:after="0" w:line="129" w:lineRule="exact"/>
              <w:rPr>
                <w:sz w:val="20"/>
                <w:szCs w:val="20"/>
                <w:color w:val="auto"/>
              </w:rPr>
            </w:pPr>
            <w:r>
              <w:rPr>
                <w:rFonts w:ascii="Times New Roman" w:cs="Times New Roman" w:eastAsia="Times New Roman" w:hAnsi="Times New Roman"/>
                <w:sz w:val="14"/>
                <w:szCs w:val="14"/>
                <w:color w:val="auto"/>
                <w:w w:val="97"/>
              </w:rPr>
              <w:t>Fair</w:t>
            </w: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7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10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206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900" w:type="dxa"/>
            <w:vAlign w:val="bottom"/>
          </w:tcPr>
          <w:p>
            <w:pPr>
              <w:jc w:val="center"/>
              <w:ind w:right="469"/>
              <w:spacing w:after="0" w:line="149" w:lineRule="exact"/>
              <w:rPr>
                <w:sz w:val="20"/>
                <w:szCs w:val="20"/>
                <w:color w:val="auto"/>
              </w:rPr>
            </w:pPr>
            <w:r>
              <w:rPr>
                <w:rFonts w:ascii="Times New Roman" w:cs="Times New Roman" w:eastAsia="Times New Roman" w:hAnsi="Times New Roman"/>
                <w:sz w:val="14"/>
                <w:szCs w:val="14"/>
                <w:color w:val="auto"/>
                <w:w w:val="95"/>
              </w:rPr>
              <w:t>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obligation - unlimited</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334,982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304,360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348,129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322,414</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obligation - limited</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170,442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172,537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151,445</w:t>
            </w:r>
          </w:p>
        </w:tc>
      </w:tr>
      <w:tr>
        <w:trPr>
          <w:trHeight w:val="180"/>
        </w:trPr>
        <w:tc>
          <w:tcPr>
            <w:tcW w:w="20" w:type="dxa"/>
            <w:vAlign w:val="bottom"/>
            <w:shd w:val="clear" w:color="auto" w:fill="CCEEFF"/>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1,133,899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944,450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1,135,421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974,076</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 of participation</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30,247</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35,443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31,846</w:t>
            </w:r>
          </w:p>
        </w:tc>
      </w:tr>
      <w:tr>
        <w:trPr>
          <w:trHeight w:val="180"/>
        </w:trPr>
        <w:tc>
          <w:tcPr>
            <w:tcW w:w="20" w:type="dxa"/>
            <w:vAlign w:val="bottom"/>
            <w:shd w:val="clear" w:color="auto" w:fill="CCEEFF"/>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1"/>
        </w:trPr>
        <w:tc>
          <w:tcPr>
            <w:tcW w:w="20" w:type="dxa"/>
            <w:vAlign w:val="bottom"/>
          </w:tcPr>
          <w:p>
            <w:pPr>
              <w:spacing w:after="0"/>
              <w:rPr>
                <w:sz w:val="14"/>
                <w:szCs w:val="14"/>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1,674,662</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1,423,139</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1,691,587</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1,479,838</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6"/>
        </w:trPr>
        <w:tc>
          <w:tcPr>
            <w:tcW w:w="83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outlines the five states in which the Company owns the highest concentrations of state and local government securities.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color w:val="auto"/>
              </w:rPr>
              <w:t>June 30, 2025</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color w:val="auto"/>
              </w:rPr>
              <w:t>December 31, 2024</w:t>
            </w:r>
          </w:p>
        </w:tc>
        <w:tc>
          <w:tcPr>
            <w:tcW w:w="900" w:type="dxa"/>
            <w:vAlign w:val="bottom"/>
            <w:tcBorders>
              <w:bottom w:val="single" w:sz="8" w:color="auto"/>
            </w:tcBorders>
          </w:tcPr>
          <w:p>
            <w:pPr>
              <w:spacing w:after="0"/>
              <w:rPr>
                <w:sz w:val="17"/>
                <w:szCs w:val="17"/>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3"/>
          </w:tcPr>
          <w:p>
            <w:pPr>
              <w:jc w:val="center"/>
              <w:ind w:right="800"/>
              <w:spacing w:after="0" w:line="135" w:lineRule="exact"/>
              <w:rPr>
                <w:sz w:val="20"/>
                <w:szCs w:val="20"/>
                <w:color w:val="auto"/>
              </w:rPr>
            </w:pPr>
            <w:r>
              <w:rPr>
                <w:rFonts w:ascii="Times New Roman" w:cs="Times New Roman" w:eastAsia="Times New Roman" w:hAnsi="Times New Roman"/>
                <w:sz w:val="14"/>
                <w:szCs w:val="14"/>
                <w:color w:val="auto"/>
              </w:rPr>
              <w:t>Amortized</w:t>
            </w:r>
          </w:p>
        </w:tc>
        <w:tc>
          <w:tcPr>
            <w:tcW w:w="980" w:type="dxa"/>
            <w:vAlign w:val="bottom"/>
          </w:tcPr>
          <w:p>
            <w:pPr>
              <w:jc w:val="center"/>
              <w:ind w:right="369"/>
              <w:spacing w:after="0" w:line="135" w:lineRule="exact"/>
              <w:rPr>
                <w:sz w:val="20"/>
                <w:szCs w:val="20"/>
                <w:color w:val="auto"/>
              </w:rPr>
            </w:pPr>
            <w:r>
              <w:rPr>
                <w:rFonts w:ascii="Times New Roman" w:cs="Times New Roman" w:eastAsia="Times New Roman" w:hAnsi="Times New Roman"/>
                <w:sz w:val="14"/>
                <w:szCs w:val="14"/>
                <w:color w:val="auto"/>
                <w:w w:val="97"/>
              </w:rPr>
              <w:t>Fair</w:t>
            </w:r>
          </w:p>
        </w:tc>
        <w:tc>
          <w:tcPr>
            <w:tcW w:w="100" w:type="dxa"/>
            <w:vAlign w:val="bottom"/>
          </w:tcPr>
          <w:p>
            <w:pPr>
              <w:spacing w:after="0"/>
              <w:rPr>
                <w:sz w:val="11"/>
                <w:szCs w:val="11"/>
                <w:color w:val="auto"/>
              </w:rPr>
            </w:pPr>
          </w:p>
        </w:tc>
        <w:tc>
          <w:tcPr>
            <w:tcW w:w="2060" w:type="dxa"/>
            <w:vAlign w:val="bottom"/>
            <w:gridSpan w:val="3"/>
          </w:tcPr>
          <w:p>
            <w:pPr>
              <w:jc w:val="center"/>
              <w:ind w:right="620"/>
              <w:spacing w:after="0" w:line="135" w:lineRule="exact"/>
              <w:rPr>
                <w:sz w:val="20"/>
                <w:szCs w:val="20"/>
                <w:color w:val="auto"/>
              </w:rPr>
            </w:pPr>
            <w:r>
              <w:rPr>
                <w:rFonts w:ascii="Times New Roman" w:cs="Times New Roman" w:eastAsia="Times New Roman" w:hAnsi="Times New Roman"/>
                <w:sz w:val="14"/>
                <w:szCs w:val="14"/>
                <w:color w:val="auto"/>
              </w:rPr>
              <w:t>Amortized</w:t>
            </w:r>
          </w:p>
        </w:tc>
        <w:tc>
          <w:tcPr>
            <w:tcW w:w="900" w:type="dxa"/>
            <w:vAlign w:val="bottom"/>
          </w:tcPr>
          <w:p>
            <w:pPr>
              <w:jc w:val="center"/>
              <w:ind w:right="449"/>
              <w:spacing w:after="0" w:line="135" w:lineRule="exact"/>
              <w:rPr>
                <w:sz w:val="20"/>
                <w:szCs w:val="20"/>
                <w:color w:val="auto"/>
              </w:rPr>
            </w:pPr>
            <w:r>
              <w:rPr>
                <w:rFonts w:ascii="Times New Roman" w:cs="Times New Roman" w:eastAsia="Times New Roman" w:hAnsi="Times New Roman"/>
                <w:sz w:val="14"/>
                <w:szCs w:val="14"/>
                <w:color w:val="auto"/>
                <w:w w:val="97"/>
              </w:rPr>
              <w:t>Fair</w:t>
            </w:r>
          </w:p>
        </w:tc>
      </w:tr>
      <w:tr>
        <w:trPr>
          <w:trHeight w:val="142"/>
        </w:trPr>
        <w:tc>
          <w:tcPr>
            <w:tcW w:w="20" w:type="dxa"/>
            <w:vAlign w:val="bottom"/>
          </w:tcPr>
          <w:p>
            <w:pPr>
              <w:spacing w:after="0"/>
              <w:rPr>
                <w:sz w:val="12"/>
                <w:szCs w:val="12"/>
                <w:color w:val="auto"/>
              </w:rPr>
            </w:pPr>
          </w:p>
        </w:tc>
        <w:tc>
          <w:tcPr>
            <w:tcW w:w="52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720" w:type="dxa"/>
            <w:vAlign w:val="bottom"/>
            <w:gridSpan w:val="3"/>
          </w:tcPr>
          <w:p>
            <w:pPr>
              <w:jc w:val="center"/>
              <w:ind w:right="780"/>
              <w:spacing w:after="0" w:line="122" w:lineRule="exact"/>
              <w:rPr>
                <w:sz w:val="20"/>
                <w:szCs w:val="20"/>
                <w:color w:val="auto"/>
              </w:rPr>
            </w:pPr>
            <w:r>
              <w:rPr>
                <w:rFonts w:ascii="Times New Roman" w:cs="Times New Roman" w:eastAsia="Times New Roman" w:hAnsi="Times New Roman"/>
                <w:sz w:val="14"/>
                <w:szCs w:val="14"/>
                <w:color w:val="auto"/>
              </w:rPr>
              <w:t>Cost</w:t>
            </w:r>
          </w:p>
        </w:tc>
        <w:tc>
          <w:tcPr>
            <w:tcW w:w="1080" w:type="dxa"/>
            <w:vAlign w:val="bottom"/>
            <w:gridSpan w:val="2"/>
          </w:tcPr>
          <w:p>
            <w:pPr>
              <w:jc w:val="center"/>
              <w:ind w:right="520"/>
              <w:spacing w:after="0" w:line="122" w:lineRule="exact"/>
              <w:rPr>
                <w:sz w:val="20"/>
                <w:szCs w:val="20"/>
                <w:color w:val="auto"/>
              </w:rPr>
            </w:pPr>
            <w:r>
              <w:rPr>
                <w:rFonts w:ascii="Times New Roman" w:cs="Times New Roman" w:eastAsia="Times New Roman" w:hAnsi="Times New Roman"/>
                <w:sz w:val="14"/>
                <w:szCs w:val="14"/>
                <w:color w:val="auto"/>
                <w:w w:val="95"/>
              </w:rPr>
              <w:t>Value</w:t>
            </w:r>
          </w:p>
        </w:tc>
        <w:tc>
          <w:tcPr>
            <w:tcW w:w="2060" w:type="dxa"/>
            <w:vAlign w:val="bottom"/>
            <w:gridSpan w:val="3"/>
          </w:tcPr>
          <w:p>
            <w:pPr>
              <w:jc w:val="center"/>
              <w:ind w:right="640"/>
              <w:spacing w:after="0" w:line="122" w:lineRule="exact"/>
              <w:rPr>
                <w:sz w:val="20"/>
                <w:szCs w:val="20"/>
                <w:color w:val="auto"/>
              </w:rPr>
            </w:pPr>
            <w:r>
              <w:rPr>
                <w:rFonts w:ascii="Times New Roman" w:cs="Times New Roman" w:eastAsia="Times New Roman" w:hAnsi="Times New Roman"/>
                <w:sz w:val="14"/>
                <w:szCs w:val="14"/>
                <w:color w:val="auto"/>
              </w:rPr>
              <w:t>Cost</w:t>
            </w:r>
          </w:p>
        </w:tc>
        <w:tc>
          <w:tcPr>
            <w:tcW w:w="900" w:type="dxa"/>
            <w:vAlign w:val="bottom"/>
          </w:tcPr>
          <w:p>
            <w:pPr>
              <w:jc w:val="center"/>
              <w:ind w:right="469"/>
              <w:spacing w:after="0" w:line="122" w:lineRule="exact"/>
              <w:rPr>
                <w:sz w:val="20"/>
                <w:szCs w:val="20"/>
                <w:color w:val="auto"/>
              </w:rPr>
            </w:pPr>
            <w:r>
              <w:rPr>
                <w:rFonts w:ascii="Times New Roman" w:cs="Times New Roman" w:eastAsia="Times New Roman" w:hAnsi="Times New Roman"/>
                <w:sz w:val="14"/>
                <w:szCs w:val="14"/>
                <w:color w:val="auto"/>
                <w:w w:val="95"/>
              </w:rPr>
              <w:t>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319,897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370,189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329,252</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Texas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98,699</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104,938</w:t>
            </w:r>
          </w:p>
        </w:tc>
      </w:tr>
      <w:tr>
        <w:trPr>
          <w:trHeight w:val="180"/>
        </w:trPr>
        <w:tc>
          <w:tcPr>
            <w:tcW w:w="20" w:type="dxa"/>
            <w:vAlign w:val="bottom"/>
            <w:shd w:val="clear" w:color="auto" w:fill="CCEEFF"/>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101,021</w:t>
            </w: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82,872</w:t>
            </w:r>
          </w:p>
        </w:tc>
      </w:tr>
      <w:tr>
        <w:trPr>
          <w:trHeight w:val="180"/>
        </w:trPr>
        <w:tc>
          <w:tcPr>
            <w:tcW w:w="20" w:type="dxa"/>
            <w:vAlign w:val="bottom"/>
            <w:shd w:val="clear" w:color="auto" w:fill="CCEEFF"/>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Michigan</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79,586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79,987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69,527</w:t>
            </w:r>
          </w:p>
        </w:tc>
      </w:tr>
      <w:tr>
        <w:trPr>
          <w:trHeight w:val="180"/>
        </w:trPr>
        <w:tc>
          <w:tcPr>
            <w:tcW w:w="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All other states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909,320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761,458</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919,670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792,228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1,674,662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1,423,139</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1,691,587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table presents the carrying amount and weighted-average yield of available-for-sale and held-to-maturity debt securities by contractual maturity at June 30, 2025.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federal income tax benefit.</w:t>
      </w: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1"/>
                <w:szCs w:val="11"/>
                <w:color w:val="auto"/>
              </w:rPr>
              <w:t>One Year or Less</w:t>
            </w:r>
          </w:p>
        </w:tc>
        <w:tc>
          <w:tcPr>
            <w:tcW w:w="80" w:type="dxa"/>
            <w:vAlign w:val="bottom"/>
          </w:tcPr>
          <w:p>
            <w:pPr>
              <w:spacing w:after="0"/>
              <w:rPr>
                <w:sz w:val="14"/>
                <w:szCs w:val="14"/>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After One through Five Years</w:t>
            </w: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After Five through Ten Years</w:t>
            </w:r>
          </w:p>
        </w:tc>
        <w:tc>
          <w:tcPr>
            <w:tcW w:w="160" w:type="dxa"/>
            <w:vAlign w:val="bottom"/>
          </w:tcPr>
          <w:p>
            <w:pPr>
              <w:spacing w:after="0"/>
              <w:rPr>
                <w:sz w:val="14"/>
                <w:szCs w:val="14"/>
                <w:color w:val="auto"/>
              </w:rPr>
            </w:pP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auto"/>
                <w:w w:val="97"/>
              </w:rPr>
              <w:t>After Ten 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xml:space="preserve">Mortgage-Backed Securities </w:t>
            </w:r>
            <w:r>
              <w:rPr>
                <w:rFonts w:ascii="Times New Roman" w:cs="Times New Roman" w:eastAsia="Times New Roman" w:hAnsi="Times New Roman"/>
                <w:sz w:val="14"/>
                <w:szCs w:val="14"/>
                <w:color w:val="auto"/>
                <w:vertAlign w:val="superscript"/>
              </w:rPr>
              <w:t>1</w:t>
            </w:r>
          </w:p>
        </w:tc>
        <w:tc>
          <w:tcPr>
            <w:tcW w:w="16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Total</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43"/>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183"/>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ind w:left="100"/>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42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w w:val="89"/>
              </w:rPr>
              <w:t>Yield</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203"/>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ind w:left="100"/>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60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Available-for-sale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U.S. government and federal</w:t>
            </w:r>
          </w:p>
        </w:tc>
        <w:tc>
          <w:tcPr>
            <w:tcW w:w="1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415,516</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1,576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tcPr>
          <w:p>
            <w:pPr>
              <w:spacing w:after="0"/>
              <w:rPr>
                <w:sz w:val="9"/>
                <w:szCs w:val="9"/>
                <w:color w:val="auto"/>
              </w:rPr>
            </w:pPr>
          </w:p>
        </w:tc>
        <w:tc>
          <w:tcPr>
            <w:tcW w:w="1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1,670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9"/>
                <w:szCs w:val="9"/>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6,538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425,300</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agency</w:t>
            </w: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162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U.S. government sponsored</w:t>
            </w: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205,054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110,928</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00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315,982</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enterprises</w:t>
            </w: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13,438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17,963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70,704</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9,963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14,633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Residential mortgage-backed</w:t>
            </w:r>
          </w:p>
        </w:tc>
        <w:tc>
          <w:tcPr>
            <w:tcW w:w="140" w:type="dxa"/>
            <w:vAlign w:val="bottom"/>
          </w:tcPr>
          <w:p>
            <w:pPr>
              <w:spacing w:after="0"/>
              <w:rPr>
                <w:sz w:val="9"/>
                <w:szCs w:val="9"/>
                <w:color w:val="auto"/>
              </w:rPr>
            </w:pP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2,187,864</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2,187,864</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securities</w:t>
            </w: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162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Commercial mortgage-backed</w:t>
            </w: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00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1,010,497</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1,010,497</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w:t>
            </w: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available-for-sale</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643,971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130,467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23,868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28,313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3,198,361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4,024,980</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Held-to-maturity</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U.S. government and federal</w:t>
            </w:r>
          </w:p>
        </w:tc>
        <w:tc>
          <w:tcPr>
            <w:tcW w:w="140" w:type="dxa"/>
            <w:vAlign w:val="bottom"/>
          </w:tcPr>
          <w:p>
            <w:pPr>
              <w:spacing w:after="0"/>
              <w:rPr>
                <w:sz w:val="9"/>
                <w:szCs w:val="9"/>
                <w:color w:val="auto"/>
              </w:rPr>
            </w:pP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862,536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862,536</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agency</w:t>
            </w: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9,887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100,596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238,847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1,251,518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1,600,848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Residential mortgage-backed</w:t>
            </w:r>
          </w:p>
        </w:tc>
        <w:tc>
          <w:tcPr>
            <w:tcW w:w="140" w:type="dxa"/>
            <w:vAlign w:val="bottom"/>
          </w:tcPr>
          <w:p>
            <w:pPr>
              <w:spacing w:after="0"/>
              <w:rPr>
                <w:sz w:val="9"/>
                <w:szCs w:val="9"/>
                <w:color w:val="auto"/>
              </w:rPr>
            </w:pP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742,749</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0.98%</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742,749</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0.98%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securities</w:t>
            </w: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held-to-maturity</w:t>
            </w: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9,887</w:t>
            </w:r>
          </w:p>
        </w:tc>
        <w:tc>
          <w:tcPr>
            <w:tcW w:w="6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963,132</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238,847</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1,251,518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742,749</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3,206,133</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gridSpan w:val="2"/>
          </w:tcPr>
          <w:p>
            <w:pPr>
              <w:ind w:left="160"/>
              <w:spacing w:after="0" w:line="110" w:lineRule="exact"/>
              <w:rPr>
                <w:sz w:val="20"/>
                <w:szCs w:val="20"/>
                <w:color w:val="auto"/>
              </w:rPr>
            </w:pPr>
            <w:r>
              <w:rPr>
                <w:rFonts w:ascii="Times New Roman" w:cs="Times New Roman" w:eastAsia="Times New Roman" w:hAnsi="Times New Roman"/>
                <w:sz w:val="11"/>
                <w:szCs w:val="11"/>
                <w:color w:val="auto"/>
              </w:rPr>
              <w:t>Total debt</w:t>
            </w:r>
          </w:p>
        </w:tc>
        <w:tc>
          <w:tcPr>
            <w:tcW w:w="1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653,858</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1,093,599</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tcPr>
          <w:p>
            <w:pPr>
              <w:spacing w:after="0"/>
              <w:rPr>
                <w:sz w:val="9"/>
                <w:szCs w:val="9"/>
                <w:color w:val="auto"/>
              </w:rPr>
            </w:pPr>
          </w:p>
        </w:tc>
        <w:tc>
          <w:tcPr>
            <w:tcW w:w="1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262,715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tcPr>
          <w:p>
            <w:pPr>
              <w:spacing w:after="0"/>
              <w:rPr>
                <w:sz w:val="9"/>
                <w:szCs w:val="9"/>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1,279,831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3,941,110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tcPr>
          <w:p>
            <w:pPr>
              <w:spacing w:after="0"/>
              <w:rPr>
                <w:sz w:val="9"/>
                <w:szCs w:val="9"/>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7,231,113</w:t>
            </w: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securities</w:t>
            </w:r>
          </w:p>
        </w:tc>
        <w:tc>
          <w:tcPr>
            <w:tcW w:w="14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4" w:lineRule="exact"/>
        <w:rPr>
          <w:sz w:val="20"/>
          <w:szCs w:val="20"/>
          <w:color w:val="auto"/>
        </w:rPr>
      </w:pPr>
    </w:p>
    <w:p>
      <w:pPr>
        <w:ind w:left="80" w:hanging="75"/>
        <w:spacing w:after="0"/>
        <w:tabs>
          <w:tab w:leader="none" w:pos="8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Mortgage-backed securities, which have prepayment provisions, are not assigned to maturity categories due to fluctuations in their prepayment speeds.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an analysis of its available-for-sale debt securities with unrealized losses as of June 30, 2025, the Company determined the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held-to-maturity debt securities portfolio; therefore, no ACL has been recognized at June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the Company’s debt securities, see Note 2 to the Consolidated Financial Statements in “Part I. Item 1.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securities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Non-marketable equity securities primarily consist of capital stock issued by the FHLB of Des Moines and are carried at cost less impairment. The Company also has an insignificant amount of equity securities that are included in other assets on the Company’s statements of financial condition.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Non-marketable equity securities and equity securities without readily determinable fair values are evaluated for impairment whenever events or circumstances suggest the carrying value may not be recoverable. Based on the Company’s evaluation of its investments in non-marketable equity securities and equity securities without readily determinable fair values as of June 30, 2025, the Company determined that none of such securities were impaired.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Lending Activity</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Supplemental information regarding the Company’s loan portfolio and credit quality based on regulatory classification of loans is provided in the section captioned “Loans by Regulatory Classification” included in “Part I. Item 2. Management’s Discussion and Analysis of Financial Condition and Results of Operations.” The regulatory classification of loans is based primarily on the type of collateral for the loans. Loan information included in “Part I. Item 2. Management’s Discussion and Analysis of Financial Condition and Results of Operations” is based on the Company’s loan segments, which are based on the purpose of the loan, unless otherwise noted as a regulatory classification. The following table summarizes the Company’s loan portfolio as of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color w:val="auto"/>
              </w:rPr>
              <w:t>December 31, 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June 30, 2024</w:t>
            </w:r>
          </w:p>
        </w:tc>
        <w:tc>
          <w:tcPr>
            <w:tcW w:w="8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32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1"/>
                <w:szCs w:val="11"/>
                <w:color w:val="auto"/>
              </w:rPr>
            </w:pPr>
          </w:p>
        </w:tc>
        <w:tc>
          <w:tcPr>
            <w:tcW w:w="980" w:type="dxa"/>
            <w:vAlign w:val="bottom"/>
            <w:gridSpan w:val="2"/>
          </w:tcPr>
          <w:p>
            <w:pPr>
              <w:jc w:val="right"/>
              <w:ind w:right="309"/>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100" w:type="dxa"/>
            <w:vAlign w:val="bottom"/>
          </w:tcPr>
          <w:p>
            <w:pPr>
              <w:spacing w:after="0"/>
              <w:rPr>
                <w:sz w:val="11"/>
                <w:szCs w:val="11"/>
                <w:color w:val="auto"/>
              </w:rPr>
            </w:pPr>
          </w:p>
        </w:tc>
        <w:tc>
          <w:tcPr>
            <w:tcW w:w="13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color w:val="auto"/>
              </w:rPr>
              <w:t>Percent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ind w:left="26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46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Percent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5"/>
          </w:tcPr>
          <w:p>
            <w:pPr>
              <w:ind w:left="28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880" w:type="dxa"/>
            <w:vAlign w:val="bottom"/>
          </w:tcPr>
          <w:p>
            <w:pPr>
              <w:jc w:val="right"/>
              <w:ind w:right="370"/>
              <w:spacing w:after="0" w:line="118" w:lineRule="exact"/>
              <w:rPr>
                <w:sz w:val="20"/>
                <w:szCs w:val="20"/>
                <w:color w:val="auto"/>
              </w:rPr>
            </w:pPr>
            <w:r>
              <w:rPr>
                <w:rFonts w:ascii="Times New Roman" w:cs="Times New Roman" w:eastAsia="Times New Roman" w:hAnsi="Times New Roman"/>
                <w:sz w:val="13"/>
                <w:szCs w:val="13"/>
                <w:color w:val="auto"/>
              </w:rPr>
              <w:t>Percent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1,931,554</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1,771,528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11,935,109</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65 %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10,713,964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3,303,889</w:t>
            </w: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3,066,028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975,429</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905,884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386,759</w:t>
            </w: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394,587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1"/>
        </w:trPr>
        <w:tc>
          <w:tcPr>
            <w:tcW w:w="2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Loans receivable</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18,532,740</w:t>
            </w:r>
          </w:p>
        </w:tc>
        <w:tc>
          <w:tcPr>
            <w:tcW w:w="100" w:type="dxa"/>
            <w:vAlign w:val="bottom"/>
            <w:tcBorders>
              <w:bottom w:val="single" w:sz="8" w:color="CCEEFF"/>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101 %</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16,851,991</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101 %</w:t>
            </w:r>
          </w:p>
        </w:tc>
      </w:tr>
      <w:tr>
        <w:trPr>
          <w:trHeight w:val="171"/>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(226,799)</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(200,955)</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20" w:type="dxa"/>
            <w:vAlign w:val="bottom"/>
          </w:tcPr>
          <w:p>
            <w:pPr>
              <w:spacing w:after="0"/>
              <w:rPr>
                <w:sz w:val="14"/>
                <w:szCs w:val="14"/>
                <w:color w:val="auto"/>
              </w:rPr>
            </w:pPr>
          </w:p>
        </w:tc>
        <w:tc>
          <w:tcPr>
            <w:tcW w:w="32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receivable, net</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18,305,941</w:t>
            </w:r>
          </w:p>
        </w:tc>
        <w:tc>
          <w:tcPr>
            <w:tcW w:w="10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16,651,036</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17"/>
        </w:trPr>
        <w:tc>
          <w:tcPr>
            <w:tcW w:w="1040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The largest category of the Company’s loan portfolio is Commercial Real Estate (“CRE”). An additional breakdown of the Company’s CRE portfolio follows.</w:t>
            </w:r>
          </w:p>
        </w:tc>
        <w:tc>
          <w:tcPr>
            <w:tcW w:w="8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June 30, 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32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color w:val="auto"/>
              </w:rPr>
              <w:t>Owner Occupied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color w:val="auto"/>
              </w:rPr>
              <w:t>Non-Owner Occupied</w:t>
            </w:r>
          </w:p>
        </w:tc>
        <w:tc>
          <w:tcPr>
            <w:tcW w:w="460" w:type="dxa"/>
            <w:vAlign w:val="bottom"/>
          </w:tcPr>
          <w:p>
            <w:pPr>
              <w:spacing w:after="0"/>
              <w:rPr>
                <w:sz w:val="11"/>
                <w:szCs w:val="11"/>
                <w:color w:val="auto"/>
              </w:rPr>
            </w:pPr>
          </w:p>
        </w:tc>
        <w:tc>
          <w:tcPr>
            <w:tcW w:w="6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Total</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right"/>
              <w:ind w:right="250"/>
              <w:spacing w:after="0" w:line="118" w:lineRule="exact"/>
              <w:rPr>
                <w:sz w:val="20"/>
                <w:szCs w:val="20"/>
                <w:color w:val="auto"/>
              </w:rPr>
            </w:pPr>
            <w:r>
              <w:rPr>
                <w:rFonts w:ascii="Times New Roman" w:cs="Times New Roman" w:eastAsia="Times New Roman" w:hAnsi="Times New Roman"/>
                <w:sz w:val="13"/>
                <w:szCs w:val="13"/>
                <w:color w:val="auto"/>
              </w:rPr>
              <w:t>Percent of total CRE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1,084,001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792,538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1,876,539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149,569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1,137,818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1,287,387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 and warehouse</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832,137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398,684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1,230,821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Retail</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404,696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841,748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1,246,444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 and nursing</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291,651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603,984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Mini and RV Storage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592,648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Agriculture real estate</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667,903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667,903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Hotel</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549,393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557,467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381,958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494,711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Restaurant and entertainment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227,583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90,925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318,508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Automotive and transportation</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0"/>
        </w:trPr>
        <w:tc>
          <w:tcPr>
            <w:tcW w:w="2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2,136,664</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521,962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2,658,626</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22.3 %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6,283,088</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5,652,021</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11,935,109</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The following table summarizes the Company’s CRE portfolio by geographic location, including occupancy as of the date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44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June 30, 2025</w:t>
            </w:r>
          </w:p>
        </w:tc>
        <w:tc>
          <w:tcPr>
            <w:tcW w:w="18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Percent of total CRE</w:t>
            </w:r>
          </w:p>
        </w:tc>
      </w:tr>
      <w:tr>
        <w:trPr>
          <w:trHeight w:val="171"/>
        </w:trPr>
        <w:tc>
          <w:tcPr>
            <w:tcW w:w="20" w:type="dxa"/>
            <w:vAlign w:val="bottom"/>
            <w:shd w:val="clear" w:color="auto" w:fill="CCEEFF"/>
          </w:tcPr>
          <w:p>
            <w:pPr>
              <w:spacing w:after="0"/>
              <w:rPr>
                <w:sz w:val="14"/>
                <w:szCs w:val="14"/>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Montana</w:t>
            </w:r>
          </w:p>
        </w:tc>
        <w:tc>
          <w:tcPr>
            <w:tcW w:w="1440" w:type="dxa"/>
            <w:vAlign w:val="bottom"/>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3,041,617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r>
      <w:tr>
        <w:trPr>
          <w:trHeight w:val="180"/>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Utah</w:t>
            </w:r>
          </w:p>
        </w:tc>
        <w:tc>
          <w:tcPr>
            <w:tcW w:w="1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1,958,144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r>
      <w:tr>
        <w:trPr>
          <w:trHeight w:val="180"/>
        </w:trPr>
        <w:tc>
          <w:tcPr>
            <w:tcW w:w="20" w:type="dxa"/>
            <w:vAlign w:val="bottom"/>
            <w:shd w:val="clear" w:color="auto" w:fill="CCEEFF"/>
          </w:tcPr>
          <w:p>
            <w:pPr>
              <w:spacing w:after="0"/>
              <w:rPr>
                <w:sz w:val="15"/>
                <w:szCs w:val="15"/>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Idaho</w:t>
            </w:r>
          </w:p>
        </w:tc>
        <w:tc>
          <w:tcPr>
            <w:tcW w:w="1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2,320,050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19.4 %</w:t>
            </w:r>
          </w:p>
        </w:tc>
      </w:tr>
      <w:tr>
        <w:trPr>
          <w:trHeight w:val="180"/>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Arizona</w:t>
            </w:r>
          </w:p>
        </w:tc>
        <w:tc>
          <w:tcPr>
            <w:tcW w:w="1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1,353,360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r>
      <w:tr>
        <w:trPr>
          <w:trHeight w:val="180"/>
        </w:trPr>
        <w:tc>
          <w:tcPr>
            <w:tcW w:w="20" w:type="dxa"/>
            <w:vAlign w:val="bottom"/>
            <w:shd w:val="clear" w:color="auto" w:fill="CCEEFF"/>
          </w:tcPr>
          <w:p>
            <w:pPr>
              <w:spacing w:after="0"/>
              <w:rPr>
                <w:sz w:val="15"/>
                <w:szCs w:val="15"/>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Colorado</w:t>
            </w:r>
          </w:p>
        </w:tc>
        <w:tc>
          <w:tcPr>
            <w:tcW w:w="1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1,105,620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r>
      <w:tr>
        <w:trPr>
          <w:trHeight w:val="180"/>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Wyoming</w:t>
            </w:r>
          </w:p>
        </w:tc>
        <w:tc>
          <w:tcPr>
            <w:tcW w:w="1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770,057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20" w:type="dxa"/>
            <w:vAlign w:val="bottom"/>
            <w:shd w:val="clear" w:color="auto" w:fill="CCEEFF"/>
          </w:tcPr>
          <w:p>
            <w:pPr>
              <w:spacing w:after="0"/>
              <w:rPr>
                <w:sz w:val="15"/>
                <w:szCs w:val="15"/>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Nevada</w:t>
            </w:r>
          </w:p>
        </w:tc>
        <w:tc>
          <w:tcPr>
            <w:tcW w:w="1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759,624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r>
      <w:tr>
        <w:trPr>
          <w:trHeight w:val="180"/>
        </w:trPr>
        <w:tc>
          <w:tcPr>
            <w:tcW w:w="20" w:type="dxa"/>
            <w:vAlign w:val="bottom"/>
            <w:tcBorders>
              <w:bottom w:val="single" w:sz="8" w:color="CCEEFF"/>
            </w:tcBorders>
          </w:tcPr>
          <w:p>
            <w:pPr>
              <w:spacing w:after="0"/>
              <w:rPr>
                <w:sz w:val="15"/>
                <w:szCs w:val="15"/>
                <w:color w:val="auto"/>
              </w:rPr>
            </w:pPr>
          </w:p>
        </w:tc>
        <w:tc>
          <w:tcPr>
            <w:tcW w:w="6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Washington</w:t>
            </w:r>
          </w:p>
        </w:tc>
        <w:tc>
          <w:tcPr>
            <w:tcW w:w="1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626,637</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440" w:type="dxa"/>
            <w:vAlign w:val="bottom"/>
            <w:tcBorders>
              <w:bottom w:val="single" w:sz="8" w:color="auto"/>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11,935,109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CRE portfolio is comprised of loans made to purchase, construct and finance commercial real estate properties. On average, the balances are small and geographically disbursed across our eight-state footprint. Specifically, our CRE portfolio has an average loan balance of $787 thousand with an average loan-to-value ratio (“LTV”) of 58% as of June 30, 2025.</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Due to the recent trends in the banking industry, there has been increased risk associated with commercial real estate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regarding non-performing assets at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9"/>
              </w:rPr>
              <w:t>At or for the Six Months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At or for the Three</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 or for the Six Months</w:t>
            </w: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ended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Months ended</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At or for the Year ended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ended</w:t>
            </w: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color w:val="auto"/>
                <w:w w:val="98"/>
              </w:rPr>
              <w:t>June 30,</w:t>
            </w:r>
          </w:p>
        </w:tc>
        <w:tc>
          <w:tcPr>
            <w:tcW w:w="15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16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1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June 30,</w:t>
            </w: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00" w:type="dxa"/>
            <w:vAlign w:val="bottom"/>
          </w:tcPr>
          <w:p>
            <w:pPr>
              <w:spacing w:after="0"/>
              <w:rPr>
                <w:sz w:val="12"/>
                <w:szCs w:val="12"/>
                <w:color w:val="auto"/>
              </w:rPr>
            </w:pPr>
          </w:p>
        </w:tc>
        <w:tc>
          <w:tcPr>
            <w:tcW w:w="1200" w:type="dxa"/>
            <w:vAlign w:val="bottom"/>
          </w:tcPr>
          <w:p>
            <w:pPr>
              <w:jc w:val="center"/>
              <w:ind w:right="22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 and foreclosed assets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630</w:t>
            </w:r>
          </w:p>
        </w:tc>
      </w:tr>
      <w:tr>
        <w:trPr>
          <w:trHeight w:val="180"/>
        </w:trPr>
        <w:tc>
          <w:tcPr>
            <w:tcW w:w="20" w:type="dxa"/>
            <w:vAlign w:val="bottom"/>
          </w:tcPr>
          <w:p>
            <w:pPr>
              <w:spacing w:after="0"/>
              <w:rPr>
                <w:sz w:val="15"/>
                <w:szCs w:val="15"/>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Accruing loans 90 days or more past due</w:t>
            </w:r>
          </w:p>
        </w:tc>
        <w:tc>
          <w:tcPr>
            <w:tcW w:w="30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11,371</w:t>
            </w:r>
          </w:p>
        </w:tc>
        <w:tc>
          <w:tcPr>
            <w:tcW w:w="100" w:type="dxa"/>
            <w:vAlign w:val="bottom"/>
          </w:tcPr>
          <w:p>
            <w:pPr>
              <w:spacing w:after="0"/>
              <w:rPr>
                <w:sz w:val="15"/>
                <w:szCs w:val="15"/>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5,289</w:t>
            </w:r>
          </w:p>
        </w:tc>
        <w:tc>
          <w:tcPr>
            <w:tcW w:w="100" w:type="dxa"/>
            <w:vAlign w:val="bottom"/>
          </w:tcPr>
          <w:p>
            <w:pPr>
              <w:spacing w:after="0"/>
              <w:rPr>
                <w:sz w:val="15"/>
                <w:szCs w:val="15"/>
                <w:color w:val="auto"/>
              </w:rPr>
            </w:pP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6,177</w:t>
            </w:r>
          </w:p>
        </w:tc>
        <w:tc>
          <w:tcPr>
            <w:tcW w:w="80" w:type="dxa"/>
            <w:vAlign w:val="bottom"/>
          </w:tcPr>
          <w:p>
            <w:pPr>
              <w:spacing w:after="0"/>
              <w:rPr>
                <w:sz w:val="15"/>
                <w:szCs w:val="15"/>
                <w:color w:val="auto"/>
              </w:rPr>
            </w:pPr>
          </w:p>
        </w:tc>
        <w:tc>
          <w:tcPr>
            <w:tcW w:w="1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4,692</w:t>
            </w: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3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35,356</w:t>
            </w:r>
          </w:p>
        </w:tc>
        <w:tc>
          <w:tcPr>
            <w:tcW w:w="10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32,896</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20,445</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12,686</w:t>
            </w:r>
          </w:p>
        </w:tc>
      </w:tr>
      <w:tr>
        <w:trPr>
          <w:trHeight w:val="171"/>
        </w:trPr>
        <w:tc>
          <w:tcPr>
            <w:tcW w:w="20" w:type="dxa"/>
            <w:vAlign w:val="bottom"/>
          </w:tcPr>
          <w:p>
            <w:pPr>
              <w:spacing w:after="0"/>
              <w:rPr>
                <w:sz w:val="14"/>
                <w:szCs w:val="14"/>
                <w:color w:val="auto"/>
              </w:rPr>
            </w:pPr>
          </w:p>
        </w:tc>
        <w:tc>
          <w:tcPr>
            <w:tcW w:w="49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48,606</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39,338</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27,786</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18,008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assets as a percentage of subsidiary assets</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0.17 %</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0.06 %</w:t>
            </w:r>
          </w:p>
        </w:tc>
      </w:tr>
      <w:tr>
        <w:trPr>
          <w:trHeight w:val="180"/>
        </w:trPr>
        <w:tc>
          <w:tcPr>
            <w:tcW w:w="20" w:type="dxa"/>
            <w:vAlign w:val="bottom"/>
          </w:tcPr>
          <w:p>
            <w:pPr>
              <w:spacing w:after="0"/>
              <w:rPr>
                <w:sz w:val="15"/>
                <w:szCs w:val="15"/>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ACL as a percentage of non-performing loans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774 %</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1,116 %</w:t>
            </w: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30-89 days past due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46,458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32,228</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49,678</w:t>
            </w:r>
          </w:p>
        </w:tc>
      </w:tr>
      <w:tr>
        <w:trPr>
          <w:trHeight w:val="180"/>
        </w:trPr>
        <w:tc>
          <w:tcPr>
            <w:tcW w:w="20" w:type="dxa"/>
            <w:vAlign w:val="bottom"/>
          </w:tcPr>
          <w:p>
            <w:pPr>
              <w:spacing w:after="0"/>
              <w:rPr>
                <w:sz w:val="15"/>
                <w:szCs w:val="15"/>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guarantees included in non-performing assets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5"/>
                <w:szCs w:val="15"/>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5"/>
                <w:szCs w:val="15"/>
                <w:color w:val="auto"/>
              </w:rPr>
            </w:pP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5"/>
                <w:szCs w:val="15"/>
                <w:color w:val="auto"/>
              </w:rPr>
            </w:pPr>
          </w:p>
        </w:tc>
        <w:tc>
          <w:tcPr>
            <w:tcW w:w="1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1,228</w:t>
            </w: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Interest income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354</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5" w:lineRule="exact"/>
        <w:rPr>
          <w:sz w:val="20"/>
          <w:szCs w:val="20"/>
          <w:color w:val="auto"/>
        </w:rPr>
      </w:pPr>
    </w:p>
    <w:p>
      <w:pPr>
        <w:ind w:left="140" w:hanging="135"/>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represent estimated interest income that would have been recognized on loans accounted for on a non-accrual basis as of the end of each period had such loans performed pursuant to contractual terms.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Non-performing assets as a percentage of subsidiary assets at June 30, 2025 was 0.17 percent compared to 0.14 percent in the prior quarter and 0.06 percent in the prior year second quarter. Non-performing assets of $48.6 million at June 30, 2025 increased $9.3 million, or 24 percent, over the prior quarter and increased $30.6 million, or 170 percent, over the prior year second quarter.</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Early stage delinquencies (accruing loans 30-89 days past due) as a percentage of loans at June 30, 2025 were 0.28 percent compared to 0.27 percent for the prior quarter end and 0.29 percent for the prior year second quarter. Early stage delinquencies of $54.4 million at June 30, 2025 increased $7.9 million from the prior quarter and decreased $4.7 million from prior year second quarter.</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accounting policies relating to non-performing assets, see Note 1 to the Consolidated Financial Statements in “Part I. Item 1.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Modifications to Borrowers Experiencing Financial Difficulty</w:t>
      </w:r>
    </w:p>
    <w:p>
      <w:pPr>
        <w:spacing w:after="0" w:line="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Company identifies loans modified to borrowers experiencing financial difficulty (“MBFD”). The Company considers some of the indicators that a borrower is experiencing financial difficulty to be: current payment default on any of their debt, declaring bankruptcy, going concern, borrower’s securities have been delisted, and other indicators of inability to meet obligations. Each debt modification is separately negotiated with the borrower and includes terms and conditions that reflect the borrower’s prospective ability to service their obligations as modified. Such loans at June 30, 2025 had an amortized cost of $15.2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auto"/>
        </w:rPr>
        <w:t>Other Real Estate Owned and Foreclosed Assets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book value of loans prior to the acquisition of collateral and transfer of the loans into other real estate owned (“OREO”) and other foreclosed assets during 2025 was $1,514 thousand. The fair value of the loan collateral acquired in foreclosure during 2025 was $1,397 thousand. The following table sets forth the changes in OREO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color w:val="auto"/>
              </w:rPr>
              <w:t>At or for the Six Months</w:t>
            </w:r>
          </w:p>
        </w:tc>
        <w:tc>
          <w:tcPr>
            <w:tcW w:w="14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color w:val="auto"/>
              </w:rPr>
              <w:t>At or for the Three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At or for the Six Months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color w:val="auto"/>
              </w:rPr>
              <w:t>ended</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color w:val="auto"/>
                <w:w w:val="99"/>
              </w:rPr>
              <w:t>At or for the Year ended</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6"/>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June 30,</w:t>
            </w: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center"/>
              <w:ind w:right="480"/>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104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color w:val="auto"/>
                <w:w w:val="98"/>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3"/>
          </w:tcPr>
          <w:p>
            <w:pPr>
              <w:jc w:val="center"/>
              <w:ind w:right="469"/>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left="4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0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Additions</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 improvements</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Write-downs</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Balance at end of period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Allowance for Credit Losses - Loans Receivable</w:t>
            </w: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3820" w:type="dxa"/>
            <w:vAlign w:val="bottom"/>
            <w:gridSpan w:val="10"/>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following table summarizes the allocation of the ACL as of the dates indicated: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30, 2025</w:t>
            </w: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right"/>
              <w:ind w:right="909"/>
              <w:spacing w:after="0"/>
              <w:rPr>
                <w:sz w:val="20"/>
                <w:szCs w:val="20"/>
                <w:color w:val="auto"/>
              </w:rPr>
            </w:pPr>
            <w:r>
              <w:rPr>
                <w:rFonts w:ascii="Times New Roman" w:cs="Times New Roman" w:eastAsia="Times New Roman" w:hAnsi="Times New Roman"/>
                <w:sz w:val="14"/>
                <w:szCs w:val="14"/>
                <w:color w:val="auto"/>
              </w:rPr>
              <w:t>December 31, 2024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June 30, 2024</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Percent of</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Percent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Percent of</w:t>
            </w:r>
          </w:p>
        </w:tc>
        <w:tc>
          <w:tcPr>
            <w:tcW w:w="10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Percent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220"/>
              <w:spacing w:after="0" w:line="129" w:lineRule="exact"/>
              <w:rPr>
                <w:sz w:val="20"/>
                <w:szCs w:val="20"/>
                <w:color w:val="auto"/>
              </w:rPr>
            </w:pPr>
            <w:r>
              <w:rPr>
                <w:rFonts w:ascii="Times New Roman" w:cs="Times New Roman" w:eastAsia="Times New Roman" w:hAnsi="Times New Roman"/>
                <w:sz w:val="14"/>
                <w:szCs w:val="14"/>
                <w:color w:val="auto"/>
              </w:rPr>
              <w:t>Percent of</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Percent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8"/>
              </w:rPr>
              <w:t>ACL in</w:t>
            </w:r>
          </w:p>
        </w:tc>
        <w:tc>
          <w:tcPr>
            <w:tcW w:w="11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of Loans in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ACL in</w:t>
            </w:r>
          </w:p>
        </w:tc>
        <w:tc>
          <w:tcPr>
            <w:tcW w:w="10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of Loans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w w:val="98"/>
              </w:rPr>
              <w:t>ACL in</w:t>
            </w:r>
          </w:p>
        </w:tc>
        <w:tc>
          <w:tcPr>
            <w:tcW w:w="1040" w:type="dxa"/>
            <w:vAlign w:val="bottom"/>
            <w:gridSpan w:val="2"/>
          </w:tcPr>
          <w:p>
            <w:pPr>
              <w:jc w:val="center"/>
              <w:ind w:right="40"/>
              <w:spacing w:after="0" w:line="138" w:lineRule="exact"/>
              <w:rPr>
                <w:sz w:val="20"/>
                <w:szCs w:val="20"/>
                <w:color w:val="auto"/>
              </w:rPr>
            </w:pPr>
            <w:r>
              <w:rPr>
                <w:rFonts w:ascii="Times New Roman" w:cs="Times New Roman" w:eastAsia="Times New Roman" w:hAnsi="Times New Roman"/>
                <w:sz w:val="14"/>
                <w:szCs w:val="14"/>
                <w:color w:val="auto"/>
              </w:rPr>
              <w:t>of Loans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2"/>
                <w:szCs w:val="12"/>
                <w:color w:val="auto"/>
              </w:rPr>
            </w:pPr>
          </w:p>
        </w:tc>
        <w:tc>
          <w:tcPr>
            <w:tcW w:w="7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ACL</w:t>
            </w:r>
          </w:p>
        </w:tc>
        <w:tc>
          <w:tcPr>
            <w:tcW w:w="10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7"/>
              </w:rPr>
              <w:t>Category</w:t>
            </w:r>
          </w:p>
        </w:tc>
        <w:tc>
          <w:tcPr>
            <w:tcW w:w="11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Category</w:t>
            </w:r>
          </w:p>
        </w:tc>
        <w:tc>
          <w:tcPr>
            <w:tcW w:w="200" w:type="dxa"/>
            <w:vAlign w:val="bottom"/>
          </w:tcPr>
          <w:p>
            <w:pPr>
              <w:spacing w:after="0"/>
              <w:rPr>
                <w:sz w:val="12"/>
                <w:szCs w:val="12"/>
                <w:color w:val="auto"/>
              </w:rPr>
            </w:pPr>
          </w:p>
        </w:tc>
        <w:tc>
          <w:tcPr>
            <w:tcW w:w="680" w:type="dxa"/>
            <w:vAlign w:val="bottom"/>
            <w:gridSpan w:val="2"/>
          </w:tcPr>
          <w:p>
            <w:pPr>
              <w:jc w:val="right"/>
              <w:ind w:right="209"/>
              <w:spacing w:after="0" w:line="129" w:lineRule="exact"/>
              <w:rPr>
                <w:sz w:val="20"/>
                <w:szCs w:val="20"/>
                <w:color w:val="auto"/>
              </w:rPr>
            </w:pPr>
            <w:r>
              <w:rPr>
                <w:rFonts w:ascii="Times New Roman" w:cs="Times New Roman" w:eastAsia="Times New Roman" w:hAnsi="Times New Roman"/>
                <w:sz w:val="14"/>
                <w:szCs w:val="14"/>
                <w:color w:val="auto"/>
              </w:rPr>
              <w:t>ACL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rPr>
              <w:t>Category</w:t>
            </w:r>
          </w:p>
        </w:tc>
        <w:tc>
          <w:tcPr>
            <w:tcW w:w="100" w:type="dxa"/>
            <w:vAlign w:val="bottom"/>
          </w:tcPr>
          <w:p>
            <w:pPr>
              <w:spacing w:after="0"/>
              <w:rPr>
                <w:sz w:val="12"/>
                <w:szCs w:val="12"/>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Category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120"/>
              <w:spacing w:after="0" w:line="129" w:lineRule="exact"/>
              <w:rPr>
                <w:sz w:val="20"/>
                <w:szCs w:val="20"/>
                <w:color w:val="auto"/>
              </w:rPr>
            </w:pPr>
            <w:r>
              <w:rPr>
                <w:rFonts w:ascii="Times New Roman" w:cs="Times New Roman" w:eastAsia="Times New Roman" w:hAnsi="Times New Roman"/>
                <w:sz w:val="14"/>
                <w:szCs w:val="14"/>
                <w:color w:val="auto"/>
              </w:rPr>
              <w:t>ACL</w:t>
            </w:r>
          </w:p>
        </w:tc>
        <w:tc>
          <w:tcPr>
            <w:tcW w:w="100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rPr>
              <w:t>Category</w:t>
            </w:r>
          </w:p>
        </w:tc>
        <w:tc>
          <w:tcPr>
            <w:tcW w:w="10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color w:val="auto"/>
              </w:rPr>
              <w:t>Category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152,189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138,545</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64 %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24,400</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equity</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5 %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226,799</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200,955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ACL experience for the periods indicated: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740" w:type="dxa"/>
            <w:vAlign w:val="bottom"/>
            <w:gridSpan w:val="6"/>
          </w:tcPr>
          <w:p>
            <w:pPr>
              <w:jc w:val="center"/>
              <w:ind w:right="260"/>
              <w:spacing w:after="0" w:line="159" w:lineRule="exact"/>
              <w:rPr>
                <w:sz w:val="20"/>
                <w:szCs w:val="20"/>
                <w:color w:val="auto"/>
              </w:rPr>
            </w:pPr>
            <w:r>
              <w:rPr>
                <w:rFonts w:ascii="Times New Roman" w:cs="Times New Roman" w:eastAsia="Times New Roman" w:hAnsi="Times New Roman"/>
                <w:sz w:val="14"/>
                <w:szCs w:val="14"/>
                <w:color w:val="auto"/>
              </w:rPr>
              <w:t>At or for the Six Months</w:t>
            </w:r>
          </w:p>
        </w:tc>
        <w:tc>
          <w:tcPr>
            <w:tcW w:w="142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4"/>
                <w:szCs w:val="14"/>
                <w:color w:val="auto"/>
              </w:rPr>
              <w:t>At or for the Three</w:t>
            </w: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At or for the Six Months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ended</w:t>
            </w: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Months ended</w:t>
            </w: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At or for the Year ended</w:t>
            </w:r>
          </w:p>
        </w:tc>
        <w:tc>
          <w:tcPr>
            <w:tcW w:w="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jc w:val="center"/>
              <w:ind w:right="380"/>
              <w:spacing w:after="0" w:line="142" w:lineRule="exact"/>
              <w:rPr>
                <w:sz w:val="20"/>
                <w:szCs w:val="20"/>
                <w:color w:val="auto"/>
              </w:rPr>
            </w:pPr>
            <w:r>
              <w:rPr>
                <w:rFonts w:ascii="Times New Roman" w:cs="Times New Roman" w:eastAsia="Times New Roman" w:hAnsi="Times New Roman"/>
                <w:sz w:val="14"/>
                <w:szCs w:val="14"/>
                <w:color w:val="auto"/>
              </w:rPr>
              <w:t>June 30,</w:t>
            </w:r>
          </w:p>
        </w:tc>
        <w:tc>
          <w:tcPr>
            <w:tcW w:w="142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60" w:type="dxa"/>
            <w:vAlign w:val="bottom"/>
          </w:tcPr>
          <w:p>
            <w:pPr>
              <w:spacing w:after="0"/>
              <w:rPr>
                <w:sz w:val="12"/>
                <w:szCs w:val="12"/>
                <w:color w:val="auto"/>
              </w:rPr>
            </w:pPr>
          </w:p>
        </w:tc>
        <w:tc>
          <w:tcPr>
            <w:tcW w:w="152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4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Pr>
          <w:p>
            <w:pPr>
              <w:spacing w:after="0"/>
              <w:rPr>
                <w:sz w:val="12"/>
                <w:szCs w:val="12"/>
                <w:color w:val="auto"/>
              </w:rPr>
            </w:pPr>
          </w:p>
        </w:tc>
        <w:tc>
          <w:tcPr>
            <w:tcW w:w="13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206,041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192,757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192,757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120" w:type="dxa"/>
            <w:vAlign w:val="bottom"/>
          </w:tcPr>
          <w:p>
            <w:pPr>
              <w:spacing w:after="0"/>
              <w:rPr>
                <w:sz w:val="15"/>
                <w:szCs w:val="15"/>
                <w:color w:val="auto"/>
              </w:rPr>
            </w:pPr>
          </w:p>
        </w:tc>
        <w:tc>
          <w:tcPr>
            <w:tcW w:w="1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24,163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6,154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27,179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14,157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(charge-offs) recoveries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 real estate</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spacing w:after="0"/>
              <w:rPr>
                <w:sz w:val="15"/>
                <w:szCs w:val="15"/>
                <w:color w:val="auto"/>
              </w:rPr>
            </w:pPr>
          </w:p>
        </w:tc>
        <w:tc>
          <w:tcPr>
            <w:tcW w:w="1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(2,828)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(480)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(3,956)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Pr>
          <w:p>
            <w:pPr>
              <w:spacing w:after="0"/>
              <w:rPr>
                <w:sz w:val="15"/>
                <w:szCs w:val="15"/>
                <w:color w:val="auto"/>
              </w:rPr>
            </w:pPr>
          </w:p>
        </w:tc>
        <w:tc>
          <w:tcPr>
            <w:tcW w:w="1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(3,291)</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(1,756)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(7,113)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(3,312)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Net charge-offs</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(1,795)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(13,898)</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(5,962)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226,799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210,400</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206,041</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200,955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ACL as a percentage of total loans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1.22 %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1.22 %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1.19 %</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 as a percentage of total loans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ACL as a percentage of non-accrual loans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641.47 %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639.59 %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1,007.78 %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1584.07 %</w:t>
            </w:r>
          </w:p>
        </w:tc>
        <w:tc>
          <w:tcPr>
            <w:tcW w:w="0" w:type="dxa"/>
            <w:vAlign w:val="bottom"/>
          </w:tcPr>
          <w:p>
            <w:pPr>
              <w:spacing w:after="0"/>
              <w:rPr>
                <w:sz w:val="1"/>
                <w:szCs w:val="1"/>
                <w:color w:val="auto"/>
              </w:rPr>
            </w:pPr>
          </w:p>
        </w:tc>
      </w:tr>
      <w:tr>
        <w:trPr>
          <w:trHeight w:val="431"/>
        </w:trPr>
        <w:tc>
          <w:tcPr>
            <w:tcW w:w="67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summarizes net (charge-offs) recoveries as a percentage of average loans for the periods indicated:</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5"/>
          </w:tcPr>
          <w:p>
            <w:pPr>
              <w:ind w:left="500"/>
              <w:spacing w:after="0" w:line="159" w:lineRule="exact"/>
              <w:rPr>
                <w:sz w:val="20"/>
                <w:szCs w:val="20"/>
                <w:color w:val="auto"/>
              </w:rPr>
            </w:pPr>
            <w:r>
              <w:rPr>
                <w:rFonts w:ascii="Times New Roman" w:cs="Times New Roman" w:eastAsia="Times New Roman" w:hAnsi="Times New Roman"/>
                <w:sz w:val="14"/>
                <w:szCs w:val="14"/>
                <w:color w:val="auto"/>
              </w:rPr>
              <w:t>June 30,</w:t>
            </w:r>
          </w:p>
        </w:tc>
        <w:tc>
          <w:tcPr>
            <w:tcW w:w="1420" w:type="dxa"/>
            <w:vAlign w:val="bottom"/>
            <w:gridSpan w:val="3"/>
          </w:tcPr>
          <w:p>
            <w:pPr>
              <w:ind w:left="380"/>
              <w:spacing w:after="0" w:line="159" w:lineRule="exact"/>
              <w:rPr>
                <w:sz w:val="20"/>
                <w:szCs w:val="20"/>
                <w:color w:val="auto"/>
              </w:rPr>
            </w:pPr>
            <w:r>
              <w:rPr>
                <w:rFonts w:ascii="Times New Roman" w:cs="Times New Roman" w:eastAsia="Times New Roman" w:hAnsi="Times New Roman"/>
                <w:sz w:val="14"/>
                <w:szCs w:val="14"/>
                <w:color w:val="auto"/>
              </w:rPr>
              <w:t>March 31,</w:t>
            </w:r>
          </w:p>
        </w:tc>
        <w:tc>
          <w:tcPr>
            <w:tcW w:w="60" w:type="dxa"/>
            <w:vAlign w:val="bottom"/>
          </w:tcPr>
          <w:p>
            <w:pPr>
              <w:spacing w:after="0"/>
              <w:rPr>
                <w:sz w:val="13"/>
                <w:szCs w:val="13"/>
                <w:color w:val="auto"/>
              </w:rPr>
            </w:pPr>
          </w:p>
        </w:tc>
        <w:tc>
          <w:tcPr>
            <w:tcW w:w="1520" w:type="dxa"/>
            <w:vAlign w:val="bottom"/>
            <w:gridSpan w:val="3"/>
          </w:tcPr>
          <w:p>
            <w:pPr>
              <w:ind w:left="34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40" w:type="dxa"/>
            <w:vAlign w:val="bottom"/>
          </w:tcPr>
          <w:p>
            <w:pPr>
              <w:spacing w:after="0"/>
              <w:rPr>
                <w:sz w:val="13"/>
                <w:szCs w:val="13"/>
                <w:color w:val="auto"/>
              </w:rPr>
            </w:pPr>
          </w:p>
        </w:tc>
        <w:tc>
          <w:tcPr>
            <w:tcW w:w="1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June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5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spacing w:after="0"/>
              <w:rPr>
                <w:sz w:val="15"/>
                <w:szCs w:val="15"/>
                <w:color w:val="auto"/>
              </w:rPr>
            </w:pPr>
          </w:p>
        </w:tc>
        <w:tc>
          <w:tcPr>
            <w:tcW w:w="16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(0.02)%</w:t>
            </w:r>
          </w:p>
        </w:tc>
        <w:tc>
          <w:tcPr>
            <w:tcW w:w="2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(0.13)%</w:t>
            </w:r>
          </w:p>
        </w:tc>
        <w:tc>
          <w:tcPr>
            <w:tcW w:w="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Pr>
          <w:p>
            <w:pPr>
              <w:spacing w:after="0"/>
              <w:rPr>
                <w:sz w:val="15"/>
                <w:szCs w:val="15"/>
                <w:color w:val="auto"/>
              </w:rPr>
            </w:pPr>
          </w:p>
        </w:tc>
        <w:tc>
          <w:tcPr>
            <w:tcW w:w="16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5"/>
                <w:szCs w:val="15"/>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(0.46)%</w:t>
            </w:r>
          </w:p>
        </w:tc>
        <w:tc>
          <w:tcPr>
            <w:tcW w:w="2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 net (charge-offs) recoveries</w:t>
            </w:r>
          </w:p>
        </w:tc>
        <w:tc>
          <w:tcPr>
            <w:tcW w:w="1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6"/>
                <w:szCs w:val="16"/>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(0.08)%</w:t>
            </w:r>
          </w:p>
        </w:tc>
        <w:tc>
          <w:tcPr>
            <w:tcW w:w="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provision for credit loss expense was $28.1 million for the first half of 2025, an increase of $16.3 million, or 139 percent, over the same period in the prior year. Included in the current year provision for credit losses was $16.6 million from the acquisition of BOID and included in the prior year was $5.3 million from the acquisition of Wheatland Bank. Net charge-offs for the first half of 2025 were $3.4 million compared to $6.0 million in the first half of 2024.</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ACL on loans as a percentage of total loans outstanding was 1.22 percent at both June 30, 2025 and March 31, 2025 compared to 1.19 percent at June 30, 2024. The Company’s ACL of $227 million is considered adequate to absorb the estimated credit losses from any segment of its loan portfolio. For the periods ended June 30, 2025 and 2024, the Company believes the ACL is commensurate with the risk in the Company’s loan portfolio and is directionally consistent with the change in the quality of the Company’s loan portfolio.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8" w:name="page69"/>
    <w:bookmarkEnd w:id="68"/>
    <w:p>
      <w:pPr>
        <w:jc w:val="both"/>
        <w:spacing w:after="0" w:line="259" w:lineRule="auto"/>
        <w:rPr>
          <w:sz w:val="20"/>
          <w:szCs w:val="20"/>
          <w:color w:val="auto"/>
        </w:rPr>
      </w:pPr>
      <w:r>
        <w:rPr>
          <w:rFonts w:ascii="Times New Roman" w:cs="Times New Roman" w:eastAsia="Times New Roman" w:hAnsi="Times New Roman"/>
          <w:sz w:val="14"/>
          <w:szCs w:val="14"/>
          <w:color w:val="auto"/>
        </w:rPr>
        <w:t>At the end of each quarter, the Company analyzes its loan portfolio and maintains an ACL at a level that is appropriate and determined in accordance with accounting principles generally accepted in the United States of America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environmental factors.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provides commercial banking services to individuals, small to medium-sized businesses, community organizations and public entities from 247 locations, including 206 branches, across Montana, Idaho, Utah, Washington, Wyoming, Colorado, Arizona and Nevada. The states in which the Company operates have diverse economies and markets that are tied to commodities (crops, livestock, minerals, oil and natural gas), tourism, real estate and land development and an assortment of industries, both manufacturing and service-related. Thus, the effects of changes in the global, national, and local economies are not uniform across the Company’s geographic locations. The geographic dispersion of these market areas helps to mitigate the risk of credit loss. The Company’s model of seventeen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officer’s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the ACL, its relation to credit loss expense and risks related to asset quality, see Note 3 to the Consolidated Financial Statements in “Part I. Item 1. Financial Statements.”’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Loans by Regulatory Classification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loan portfolio by regulatory classification: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color w:val="auto"/>
              </w:rPr>
              <w:t>Loans Receivable, by Loan Type</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 Change from</w:t>
            </w:r>
          </w:p>
        </w:tc>
        <w:tc>
          <w:tcPr>
            <w:tcW w:w="9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20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240" w:type="dxa"/>
            <w:vAlign w:val="bottom"/>
          </w:tcPr>
          <w:p>
            <w:pPr>
              <w:spacing w:after="0"/>
              <w:rPr>
                <w:sz w:val="11"/>
                <w:szCs w:val="11"/>
                <w:color w:val="auto"/>
              </w:rPr>
            </w:pPr>
          </w:p>
        </w:tc>
        <w:tc>
          <w:tcPr>
            <w:tcW w:w="10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240" w:type="dxa"/>
            <w:vAlign w:val="bottom"/>
          </w:tcPr>
          <w:p>
            <w:pPr>
              <w:spacing w:after="0"/>
              <w:rPr>
                <w:sz w:val="11"/>
                <w:szCs w:val="11"/>
                <w:color w:val="auto"/>
              </w:rPr>
            </w:pPr>
          </w:p>
        </w:tc>
        <w:tc>
          <w:tcPr>
            <w:tcW w:w="94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02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0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920" w:type="dxa"/>
            <w:vAlign w:val="bottom"/>
          </w:tcPr>
          <w:p>
            <w:pPr>
              <w:jc w:val="right"/>
              <w:ind w:right="189"/>
              <w:spacing w:after="0" w:line="129" w:lineRule="exact"/>
              <w:rPr>
                <w:sz w:val="20"/>
                <w:szCs w:val="20"/>
                <w:color w:val="auto"/>
              </w:rPr>
            </w:pPr>
            <w:r>
              <w:rPr>
                <w:rFonts w:ascii="Times New Roman" w:cs="Times New Roman" w:eastAsia="Times New Roman" w:hAnsi="Times New Roman"/>
                <w:sz w:val="14"/>
                <w:szCs w:val="14"/>
                <w:color w:val="auto"/>
              </w:rPr>
              <w:t>Jun 30,</w:t>
            </w: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98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4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20" w:type="dxa"/>
            <w:vAlign w:val="bottom"/>
            <w:gridSpan w:val="2"/>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92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2024</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 and owner occupied construction</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233,978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2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208,106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191,926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198,219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1"/>
        </w:trPr>
        <w:tc>
          <w:tcPr>
            <w:tcW w:w="2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residential construction</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development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209,794</w:t>
            </w: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land or lots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Unimproved land</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lots for operative builders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lots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construction</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753,056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693,461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810,536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20" w:type="dxa"/>
            <w:vAlign w:val="bottom"/>
          </w:tcPr>
          <w:p>
            <w:pPr>
              <w:spacing w:after="0"/>
              <w:rPr>
                <w:sz w:val="14"/>
                <w:szCs w:val="14"/>
                <w:color w:val="auto"/>
              </w:rPr>
            </w:pPr>
          </w:p>
        </w:tc>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1,536,336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1,365,036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1,352,290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1,476,050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 occupied</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3,529,536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3,182,589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3,197,138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3,087,814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2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Non-owner occupied</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4,283,986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4,054,107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4,053,996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3,941,786</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71"/>
        </w:trPr>
        <w:tc>
          <w:tcPr>
            <w:tcW w:w="2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7,813,522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7,236,696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7,251,134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7,029,600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1,545,498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1,392,365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1,395,997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1,400,896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Agriculture</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1,024,520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2,590,433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2,499,494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2,481,918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2,353,912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lien</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85,343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71"/>
        </w:trPr>
        <w:tc>
          <w:tcPr>
            <w:tcW w:w="20" w:type="dxa"/>
            <w:vAlign w:val="bottom"/>
          </w:tcPr>
          <w:p>
            <w:pPr>
              <w:spacing w:after="0"/>
              <w:rPr>
                <w:sz w:val="14"/>
                <w:szCs w:val="14"/>
                <w:color w:val="auto"/>
              </w:rPr>
            </w:pPr>
          </w:p>
        </w:tc>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1-4 family</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2,670,603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2,584,837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2,558,221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2,409,961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 residential</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874,071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895,242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1,048,595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1,005,783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197,744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188,388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209,457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20" w:type="dxa"/>
            <w:vAlign w:val="bottom"/>
          </w:tcPr>
          <w:p>
            <w:pPr>
              <w:spacing w:after="0"/>
              <w:rPr>
                <w:sz w:val="14"/>
                <w:szCs w:val="14"/>
                <w:color w:val="auto"/>
              </w:rPr>
            </w:pPr>
          </w:p>
        </w:tc>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consumer</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1,246,339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1,177,431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1,194,755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States and political subdivisions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1,001,058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777,426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2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188,743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176,961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183,894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180,505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18"/>
        </w:trPr>
        <w:tc>
          <w:tcPr>
            <w:tcW w:w="20" w:type="dxa"/>
            <w:vAlign w:val="bottom"/>
            <w:shd w:val="clear" w:color="auto" w:fill="CCEEFF"/>
          </w:tcPr>
          <w:p>
            <w:pPr>
              <w:spacing w:after="0"/>
              <w:rPr>
                <w:sz w:val="10"/>
                <w:szCs w:val="10"/>
                <w:color w:val="auto"/>
              </w:rPr>
            </w:pPr>
          </w:p>
        </w:tc>
        <w:tc>
          <w:tcPr>
            <w:tcW w:w="3080" w:type="dxa"/>
            <w:vAlign w:val="bottom"/>
            <w:gridSpan w:val="2"/>
            <w:shd w:val="clear" w:color="auto" w:fill="CCEEFF"/>
          </w:tcPr>
          <w:p>
            <w:pPr>
              <w:ind w:left="260"/>
              <w:spacing w:after="0" w:line="118" w:lineRule="exact"/>
              <w:rPr>
                <w:sz w:val="20"/>
                <w:szCs w:val="20"/>
                <w:color w:val="auto"/>
              </w:rPr>
            </w:pPr>
            <w:r>
              <w:rPr>
                <w:rFonts w:ascii="Times New Roman" w:cs="Times New Roman" w:eastAsia="Times New Roman" w:hAnsi="Times New Roman"/>
                <w:sz w:val="13"/>
                <w:szCs w:val="13"/>
                <w:color w:val="auto"/>
              </w:rPr>
              <w:t>Total loans receivable, including loans held for</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91"/>
        </w:trPr>
        <w:tc>
          <w:tcPr>
            <w:tcW w:w="20" w:type="dxa"/>
            <w:vAlign w:val="bottom"/>
            <w:shd w:val="clear" w:color="auto" w:fill="CCEEFF"/>
          </w:tcPr>
          <w:p>
            <w:pPr>
              <w:spacing w:after="0"/>
              <w:rPr>
                <w:sz w:val="16"/>
                <w:szCs w:val="16"/>
                <w:color w:val="auto"/>
              </w:rPr>
            </w:pPr>
          </w:p>
        </w:tc>
        <w:tc>
          <w:tcPr>
            <w:tcW w:w="3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sale</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18,580,478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17,259,041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17,294,909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16,891,736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2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Less loans held for sale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18,532,740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17,218,518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16,851,991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5" w:lineRule="exact"/>
        <w:rPr>
          <w:sz w:val="20"/>
          <w:szCs w:val="20"/>
          <w:color w:val="auto"/>
        </w:rPr>
      </w:pPr>
    </w:p>
    <w:p>
      <w:pPr>
        <w:ind w:left="80" w:hanging="75"/>
        <w:spacing w:after="0"/>
        <w:tabs>
          <w:tab w:leader="none" w:pos="8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Loans held for sale are primarily First lien 1-4 family loans.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The following table summarizes the Company’s non-performing assets by regulatory classification: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Non-performing Assets,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Accruing</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Accrual</w:t>
            </w:r>
          </w:p>
        </w:tc>
        <w:tc>
          <w:tcPr>
            <w:tcW w:w="12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Loans 90 Days or</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by Loan Type</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Loans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More Past Due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OREO</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1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1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04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840" w:type="dxa"/>
            <w:vAlign w:val="bottom"/>
          </w:tcPr>
          <w:p>
            <w:pPr>
              <w:jc w:val="right"/>
              <w:ind w:right="3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040" w:type="dxa"/>
            <w:vAlign w:val="bottom"/>
          </w:tcPr>
          <w:p>
            <w:pPr>
              <w:jc w:val="right"/>
              <w:ind w:right="3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040" w:type="dxa"/>
            <w:vAlign w:val="bottom"/>
          </w:tcPr>
          <w:p>
            <w:pPr>
              <w:jc w:val="right"/>
              <w:ind w:right="3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040" w:type="dxa"/>
            <w:vAlign w:val="bottom"/>
          </w:tcPr>
          <w:p>
            <w:pPr>
              <w:jc w:val="right"/>
              <w:ind w:right="3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 and owner occupied construction</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residential construction</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development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land or lots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Developed lots for operative builders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lots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construction</w:t>
            </w: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20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Owner occupied</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Non-owner occupied</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Agriculture</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Junior lien</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1-4 family</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 residential</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The following table summarizes the Company’s accruing loans 30-89 days past due by regulatory classification: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color w:val="auto"/>
              </w:rPr>
              <w:t>Accruing 30-89 Days Delinquent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Loans, by Loan Type</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Change from</w:t>
            </w:r>
          </w:p>
        </w:tc>
        <w:tc>
          <w:tcPr>
            <w:tcW w:w="10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6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80" w:type="dxa"/>
            <w:vAlign w:val="bottom"/>
          </w:tcPr>
          <w:p>
            <w:pPr>
              <w:spacing w:after="0"/>
              <w:rPr>
                <w:sz w:val="11"/>
                <w:szCs w:val="11"/>
                <w:color w:val="auto"/>
              </w:rPr>
            </w:pPr>
          </w:p>
        </w:tc>
        <w:tc>
          <w:tcPr>
            <w:tcW w:w="800" w:type="dxa"/>
            <w:vAlign w:val="bottom"/>
          </w:tcPr>
          <w:p>
            <w:pPr>
              <w:jc w:val="right"/>
              <w:ind w:right="20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80" w:type="dxa"/>
            <w:vAlign w:val="bottom"/>
          </w:tcPr>
          <w:p>
            <w:pPr>
              <w:spacing w:after="0"/>
              <w:rPr>
                <w:sz w:val="11"/>
                <w:szCs w:val="11"/>
                <w:color w:val="auto"/>
              </w:rPr>
            </w:pPr>
          </w:p>
        </w:tc>
        <w:tc>
          <w:tcPr>
            <w:tcW w:w="118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11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08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Jun 30,</w:t>
            </w:r>
          </w:p>
        </w:tc>
      </w:tr>
      <w:tr>
        <w:trPr>
          <w:trHeight w:val="159"/>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3"/>
                <w:szCs w:val="13"/>
                <w:color w:val="auto"/>
              </w:rPr>
            </w:pPr>
          </w:p>
        </w:tc>
        <w:tc>
          <w:tcPr>
            <w:tcW w:w="78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49"/>
              <w:spacing w:after="0" w:line="15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89"/>
              <w:spacing w:after="0" w:line="15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2024</w:t>
            </w:r>
          </w:p>
        </w:tc>
        <w:tc>
          <w:tcPr>
            <w:tcW w:w="1160" w:type="dxa"/>
            <w:vAlign w:val="bottom"/>
            <w:gridSpan w:val="2"/>
          </w:tcPr>
          <w:p>
            <w:pPr>
              <w:jc w:val="right"/>
              <w:ind w:right="329"/>
              <w:spacing w:after="0" w:line="15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1080" w:type="dxa"/>
            <w:vAlign w:val="bottom"/>
          </w:tcPr>
          <w:p>
            <w:pPr>
              <w:jc w:val="right"/>
              <w:ind w:right="329"/>
              <w:spacing w:after="0" w:line="159" w:lineRule="exact"/>
              <w:rPr>
                <w:sz w:val="20"/>
                <w:szCs w:val="20"/>
                <w:color w:val="auto"/>
              </w:rPr>
            </w:pPr>
            <w:r>
              <w:rPr>
                <w:rFonts w:ascii="Times New Roman" w:cs="Times New Roman" w:eastAsia="Times New Roman" w:hAnsi="Times New Roman"/>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 and owner occupied construction</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Pr>
          <w:p>
            <w:pPr>
              <w:spacing w:after="0"/>
              <w:rPr>
                <w:sz w:val="15"/>
                <w:szCs w:val="15"/>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62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residential construction</w:t>
            </w: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development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land or lots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194 %</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Unimproved land</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lots for operative builders</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lots</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construction</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37,233 %</w:t>
            </w:r>
          </w:p>
        </w:tc>
      </w:tr>
      <w:tr>
        <w:trPr>
          <w:trHeight w:val="171"/>
        </w:trPr>
        <w:tc>
          <w:tcPr>
            <w:tcW w:w="20" w:type="dxa"/>
            <w:vAlign w:val="bottom"/>
          </w:tcPr>
          <w:p>
            <w:pPr>
              <w:spacing w:after="0"/>
              <w:rPr>
                <w:sz w:val="14"/>
                <w:szCs w:val="14"/>
                <w:color w:val="auto"/>
              </w:rPr>
            </w:pPr>
          </w:p>
        </w:tc>
        <w:tc>
          <w:tcPr>
            <w:tcW w:w="3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 occupied</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2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Non-owner occupied</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3,890 %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171"/>
        </w:trPr>
        <w:tc>
          <w:tcPr>
            <w:tcW w:w="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Agriculture</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lien</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20" w:type="dxa"/>
            <w:vAlign w:val="bottom"/>
          </w:tcPr>
          <w:p>
            <w:pPr>
              <w:spacing w:after="0"/>
              <w:rPr>
                <w:sz w:val="14"/>
                <w:szCs w:val="14"/>
                <w:color w:val="auto"/>
              </w:rPr>
            </w:pPr>
          </w:p>
        </w:tc>
        <w:tc>
          <w:tcPr>
            <w:tcW w:w="3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1-4 family</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2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20" w:type="dxa"/>
            <w:vAlign w:val="bottom"/>
            <w:shd w:val="clear" w:color="auto" w:fill="CCEEFF"/>
          </w:tcPr>
          <w:p>
            <w:pPr>
              <w:spacing w:after="0"/>
              <w:rPr>
                <w:sz w:val="14"/>
                <w:szCs w:val="14"/>
                <w:color w:val="auto"/>
              </w:rPr>
            </w:pPr>
          </w:p>
        </w:tc>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consumer</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States and political subdivisions</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1"/>
        </w:trPr>
        <w:tc>
          <w:tcPr>
            <w:tcW w:w="20" w:type="dxa"/>
            <w:vAlign w:val="bottom"/>
          </w:tcPr>
          <w:p>
            <w:pPr>
              <w:spacing w:after="0"/>
              <w:rPr>
                <w:sz w:val="14"/>
                <w:szCs w:val="14"/>
                <w:color w:val="auto"/>
              </w:rPr>
            </w:pPr>
          </w:p>
        </w:tc>
        <w:tc>
          <w:tcPr>
            <w:tcW w:w="3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46,458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32,228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n/m - not measurable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The following table summarizes the Company’s charge-offs and recoveries by regulatory classification:</w:t>
      </w:r>
    </w:p>
    <w:p>
      <w:pPr>
        <w:spacing w:after="0" w:line="34"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14"/>
          <w:szCs w:val="14"/>
          <w:color w:val="auto"/>
        </w:rPr>
        <w:t>Net Charge-Offs (Recoveries),</w:t>
      </w:r>
    </w:p>
    <w:p>
      <w:pPr>
        <w:jc w:val="right"/>
        <w:ind w:right="4320"/>
        <w:spacing w:after="0" w:line="221" w:lineRule="auto"/>
        <w:rPr>
          <w:sz w:val="20"/>
          <w:szCs w:val="20"/>
          <w:color w:val="auto"/>
        </w:rPr>
      </w:pPr>
      <w:r>
        <w:rPr>
          <w:rFonts w:ascii="Times New Roman" w:cs="Times New Roman" w:eastAsia="Times New Roman" w:hAnsi="Times New Roman"/>
          <w:sz w:val="14"/>
          <w:szCs w:val="14"/>
          <w:color w:val="auto"/>
        </w:rPr>
        <w:t>Year-to-Date Period Ending,</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w w:val="98"/>
              </w:rPr>
              <w:t>By Loan Type</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Charge-Offs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Recoveries</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left="309"/>
              <w:spacing w:after="0" w:line="129" w:lineRule="exact"/>
              <w:rPr>
                <w:sz w:val="20"/>
                <w:szCs w:val="20"/>
                <w:color w:val="auto"/>
              </w:rPr>
            </w:pPr>
            <w:r>
              <w:rPr>
                <w:rFonts w:ascii="Times New Roman" w:cs="Times New Roman" w:eastAsia="Times New Roman" w:hAnsi="Times New Roman"/>
                <w:sz w:val="14"/>
                <w:szCs w:val="14"/>
                <w:color w:val="auto"/>
              </w:rPr>
              <w:t>Mar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 31,</w:t>
            </w:r>
          </w:p>
        </w:tc>
        <w:tc>
          <w:tcPr>
            <w:tcW w:w="1200" w:type="dxa"/>
            <w:vAlign w:val="bottom"/>
          </w:tcPr>
          <w:p>
            <w:pPr>
              <w:jc w:val="right"/>
              <w:ind w:right="329"/>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Jun 30,</w:t>
            </w: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Jun 30,</w:t>
            </w: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320" w:type="dxa"/>
            <w:vAlign w:val="bottom"/>
            <w:gridSpan w:val="3"/>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200" w:type="dxa"/>
            <w:vAlign w:val="bottom"/>
          </w:tcPr>
          <w:p>
            <w:pPr>
              <w:jc w:val="right"/>
              <w:ind w:right="38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development</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180"/>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land or lots</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Unimproved land</w:t>
            </w:r>
          </w:p>
        </w:tc>
        <w:tc>
          <w:tcPr>
            <w:tcW w:w="800" w:type="dxa"/>
            <w:vAlign w:val="bottom"/>
          </w:tcPr>
          <w:p>
            <w:pPr>
              <w:spacing w:after="0"/>
              <w:rPr>
                <w:sz w:val="15"/>
                <w:szCs w:val="15"/>
                <w:color w:val="auto"/>
              </w:rPr>
            </w:pPr>
          </w:p>
        </w:tc>
        <w:tc>
          <w:tcPr>
            <w:tcW w:w="1320" w:type="dxa"/>
            <w:vAlign w:val="bottom"/>
            <w:gridSpan w:val="3"/>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lots</w:t>
            </w:r>
          </w:p>
        </w:tc>
        <w:tc>
          <w:tcPr>
            <w:tcW w:w="8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8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80"/>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 occupied</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Non-owner occupied</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r>
      <w:tr>
        <w:trPr>
          <w:trHeight w:val="180"/>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Agriculture</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lien</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71"/>
        </w:trPr>
        <w:tc>
          <w:tcPr>
            <w:tcW w:w="20" w:type="dxa"/>
            <w:vAlign w:val="bottom"/>
          </w:tcPr>
          <w:p>
            <w:pPr>
              <w:spacing w:after="0"/>
              <w:rPr>
                <w:sz w:val="14"/>
                <w:szCs w:val="14"/>
                <w:color w:val="auto"/>
              </w:rPr>
            </w:pP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1-4 family</w:t>
            </w:r>
          </w:p>
        </w:tc>
        <w:tc>
          <w:tcPr>
            <w:tcW w:w="8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2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71"/>
        </w:trPr>
        <w:tc>
          <w:tcPr>
            <w:tcW w:w="20" w:type="dxa"/>
            <w:vAlign w:val="bottom"/>
            <w:shd w:val="clear" w:color="auto" w:fill="CCEEFF"/>
          </w:tcPr>
          <w:p>
            <w:pPr>
              <w:spacing w:after="0"/>
              <w:rPr>
                <w:sz w:val="14"/>
                <w:szCs w:val="14"/>
                <w:color w:val="auto"/>
              </w:rPr>
            </w:pPr>
          </w:p>
        </w:tc>
        <w:tc>
          <w:tcPr>
            <w:tcW w:w="3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consumer</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0"/>
        </w:trPr>
        <w:tc>
          <w:tcPr>
            <w:tcW w:w="2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1,873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2,152</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1,795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13,898</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7,236</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Sources of Funds</w:t>
      </w:r>
    </w:p>
    <w:p>
      <w:pPr>
        <w:spacing w:after="0" w:line="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Company’s deposits have traditionally been the principal source of funds for use in lending and other business purposes. The Company also obtains funds from repayment of loans and debt securities, securities sold under agreements to repurchase (“repurchase agreements”), wholesale deposits, advances from FHLB, Federal Reserve facilities,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Deposits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NOW,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June 30, 2025</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December 31, 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color w:val="auto"/>
              </w:rPr>
              <w:t>June 30, 2024</w:t>
            </w:r>
          </w:p>
        </w:tc>
        <w:tc>
          <w:tcPr>
            <w:tcW w:w="8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32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1"/>
                <w:szCs w:val="11"/>
                <w:color w:val="auto"/>
              </w:rPr>
            </w:pPr>
          </w:p>
        </w:tc>
        <w:tc>
          <w:tcPr>
            <w:tcW w:w="150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880" w:type="dxa"/>
            <w:vAlign w:val="bottom"/>
          </w:tcPr>
          <w:p>
            <w:pPr>
              <w:jc w:val="right"/>
              <w:ind w:right="370"/>
              <w:spacing w:after="0" w:line="118" w:lineRule="exact"/>
              <w:rPr>
                <w:sz w:val="20"/>
                <w:szCs w:val="20"/>
                <w:color w:val="auto"/>
              </w:rPr>
            </w:pPr>
            <w:r>
              <w:rPr>
                <w:rFonts w:ascii="Times New Roman" w:cs="Times New Roman" w:eastAsia="Times New Roman" w:hAnsi="Times New Roman"/>
                <w:sz w:val="13"/>
                <w:szCs w:val="13"/>
                <w:color w:val="auto"/>
              </w:rPr>
              <w:t>Percent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900" w:type="dxa"/>
            <w:vAlign w:val="bottom"/>
          </w:tcPr>
          <w:p>
            <w:pPr>
              <w:ind w:left="440"/>
              <w:spacing w:after="0" w:line="118" w:lineRule="exact"/>
              <w:rPr>
                <w:sz w:val="20"/>
                <w:szCs w:val="20"/>
                <w:color w:val="auto"/>
              </w:rPr>
            </w:pPr>
            <w:r>
              <w:rPr>
                <w:rFonts w:ascii="Times New Roman" w:cs="Times New Roman" w:eastAsia="Times New Roman" w:hAnsi="Times New Roman"/>
                <w:sz w:val="13"/>
                <w:szCs w:val="13"/>
                <w:color w:val="auto"/>
              </w:rPr>
              <w:t>Percent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880" w:type="dxa"/>
            <w:vAlign w:val="bottom"/>
          </w:tcPr>
          <w:p>
            <w:pPr>
              <w:jc w:val="right"/>
              <w:ind w:right="370"/>
              <w:spacing w:after="0" w:line="118" w:lineRule="exact"/>
              <w:rPr>
                <w:sz w:val="20"/>
                <w:szCs w:val="20"/>
                <w:color w:val="auto"/>
              </w:rPr>
            </w:pPr>
            <w:r>
              <w:rPr>
                <w:rFonts w:ascii="Times New Roman" w:cs="Times New Roman" w:eastAsia="Times New Roman" w:hAnsi="Times New Roman"/>
                <w:sz w:val="13"/>
                <w:szCs w:val="13"/>
                <w:color w:val="auto"/>
              </w:rPr>
              <w:t>Percent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6,593,728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6,136,709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6,093,430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NOW and DDA accounts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5,747,388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5,543,512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5,219,838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2,956,387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2,845,124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2,862,034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Money market deposit accounts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3,089,115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2,878,213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2,858,850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Certificate accounts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3,238,576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3,139,821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3,064,613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Wholesale deposits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interest bearing deposits</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15,034,774</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14,410,285</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14,008,329</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171"/>
        </w:trPr>
        <w:tc>
          <w:tcPr>
            <w:tcW w:w="20" w:type="dxa"/>
            <w:vAlign w:val="bottom"/>
          </w:tcPr>
          <w:p>
            <w:pPr>
              <w:spacing w:after="0"/>
              <w:rPr>
                <w:sz w:val="14"/>
                <w:szCs w:val="14"/>
                <w:color w:val="auto"/>
              </w:rPr>
            </w:pPr>
          </w:p>
        </w:tc>
        <w:tc>
          <w:tcPr>
            <w:tcW w:w="32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deposits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21,628,502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20,546,994</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20,101,759</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Borrowings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borrows money through repurchase agreements. This process involves the selling of one or more of the securities in the Company’s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Company periodically enters into wholesale repurchase agreements as additional funding sources. The Company has not entered into reverse repurchase agreements.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calibration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the Company has other sources of secured and unsecured borrowing lines from various sources that may be used from time to time.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auto"/>
        </w:rPr>
        <w:t>Short-term borrowings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Subordinated Debentures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to funds obtained in the ordinary course of business, the Company formed or acquired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June 30, 2025. The subordinated debentures outstanding as of June 30, 2025 were $157 million, including fair value adjustments from acquisitions.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Contractual Obligations and Off-Balance Sheet Arrangements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June 30, 2025 and determined its ACL of $24.3 million was adequate to absorb the estimated credit losses.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variable interest entities (“VIE”), see Note 7 to the Unaudited Consolidated Financial Statements in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Liquidity Risk</w:t>
      </w:r>
    </w:p>
    <w:p>
      <w:pPr>
        <w:spacing w:after="0" w:line="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the normal course of business, the Company has commitments that require material cash requirements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 The objective of liquidity management is to maintain cash flows adequate to meet current and future needs for credit demand, deposit withdrawals, maturing liabilities and corporate operating expenses. Effective liquidity management entails three elements:</w:t>
      </w:r>
    </w:p>
    <w:p>
      <w:pPr>
        <w:spacing w:after="0" w:line="74"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on an ongoing basis, the current and expected future needs for funds, and ensuring that sufficient funds or access to funds exist to meet those needs at the appropriate time;</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for an adequate cushion of liquidity to meet unanticipated cash flow needs that may arise from potential adverse circumstances ranging from high probability/low severity events to low probability/high severity; and</w:t>
      </w: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balancing the benefits between providing for adequate liquidity to mitigate potential adverse events and the cost of that liquidity.</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identifies certain liquidity sources and capacity available to the Company as of the dates indicated:</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ind w:left="240"/>
              <w:spacing w:after="0" w:line="159" w:lineRule="exact"/>
              <w:rPr>
                <w:sz w:val="20"/>
                <w:szCs w:val="20"/>
                <w:color w:val="auto"/>
              </w:rPr>
            </w:pPr>
            <w:r>
              <w:rPr>
                <w:rFonts w:ascii="Times New Roman" w:cs="Times New Roman" w:eastAsia="Times New Roman" w:hAnsi="Times New Roman"/>
                <w:sz w:val="14"/>
                <w:szCs w:val="14"/>
                <w:color w:val="auto"/>
              </w:rPr>
              <w:t>June 30,</w:t>
            </w:r>
          </w:p>
        </w:tc>
        <w:tc>
          <w:tcPr>
            <w:tcW w:w="1640" w:type="dxa"/>
            <w:vAlign w:val="bottom"/>
          </w:tcPr>
          <w:p>
            <w:pPr>
              <w:jc w:val="right"/>
              <w:ind w:right="349"/>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40" w:type="dxa"/>
            <w:vAlign w:val="bottom"/>
          </w:tcPr>
          <w:p>
            <w:pPr>
              <w:spacing w:after="0"/>
              <w:rPr>
                <w:sz w:val="12"/>
                <w:szCs w:val="12"/>
                <w:color w:val="auto"/>
              </w:rPr>
            </w:pPr>
          </w:p>
        </w:tc>
        <w:tc>
          <w:tcPr>
            <w:tcW w:w="13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64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Borrowing capacity</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4,383,474</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4,355,976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 utilized</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(1,255,000)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Letters of credit and other pledged collateral</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(11,459)</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8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 available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3,117,015</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2,549,811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FRB discount window</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78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Borrowing capacity</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1,700,260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1,860,932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Amount utilized</w:t>
            </w:r>
          </w:p>
        </w:tc>
        <w:tc>
          <w:tcPr>
            <w:tcW w:w="3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880" w:type="dxa"/>
            <w:vAlign w:val="bottom"/>
            <w:tcBorders>
              <w:top w:val="single" w:sz="8" w:color="CCEEFF"/>
              <w:bottom w:val="single" w:sz="8" w:color="CCEEFF"/>
            </w:tcBorders>
            <w:gridSpan w:val="2"/>
            <w:shd w:val="clear" w:color="auto" w:fill="CCEEFF"/>
          </w:tcPr>
          <w:p>
            <w:pPr>
              <w:ind w:left="260"/>
              <w:spacing w:after="0" w:line="150" w:lineRule="exact"/>
              <w:rPr>
                <w:sz w:val="20"/>
                <w:szCs w:val="20"/>
                <w:color w:val="auto"/>
              </w:rPr>
            </w:pPr>
            <w:r>
              <w:rPr>
                <w:rFonts w:ascii="Times New Roman" w:cs="Times New Roman" w:eastAsia="Times New Roman" w:hAnsi="Times New Roman"/>
                <w:sz w:val="14"/>
                <w:szCs w:val="14"/>
                <w:color w:val="auto"/>
              </w:rPr>
              <w:t>Amount available</w:t>
            </w:r>
          </w:p>
        </w:tc>
        <w:tc>
          <w:tcPr>
            <w:tcW w:w="340" w:type="dxa"/>
            <w:vAlign w:val="bottom"/>
            <w:tcBorders>
              <w:top w:val="single" w:sz="8" w:color="auto"/>
              <w:bottom w:val="single" w:sz="8" w:color="auto"/>
            </w:tcBorders>
            <w:shd w:val="clear" w:color="auto" w:fill="CCEEFF"/>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1,700,260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1,860,932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Unsecured lines of credit available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80" w:type="dxa"/>
            <w:vAlign w:val="bottom"/>
            <w:gridSpan w:val="2"/>
            <w:vMerge w:val="continue"/>
          </w:tcPr>
          <w:p>
            <w:pPr>
              <w:spacing w:after="0"/>
              <w:rPr>
                <w:sz w:val="12"/>
                <w:szCs w:val="12"/>
                <w:color w:val="auto"/>
              </w:rPr>
            </w:pPr>
          </w:p>
        </w:tc>
        <w:tc>
          <w:tcPr>
            <w:tcW w:w="340" w:type="dxa"/>
            <w:vAlign w:val="bottom"/>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530,000</w:t>
            </w:r>
          </w:p>
        </w:tc>
        <w:tc>
          <w:tcPr>
            <w:tcW w:w="100" w:type="dxa"/>
            <w:vAlign w:val="bottom"/>
          </w:tcPr>
          <w:p>
            <w:pPr>
              <w:spacing w:after="0"/>
              <w:rPr>
                <w:sz w:val="12"/>
                <w:szCs w:val="12"/>
                <w:color w:val="auto"/>
              </w:rPr>
            </w:pPr>
          </w:p>
        </w:tc>
        <w:tc>
          <w:tcPr>
            <w:tcW w:w="1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525,000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Unencumbered debt securities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477,608</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608,979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307,681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817,463</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907,832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237,251</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615,310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828,415</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gridSpan w:val="2"/>
          </w:tcPr>
          <w:p>
            <w:pPr>
              <w:ind w:left="500"/>
              <w:spacing w:after="0" w:line="171" w:lineRule="exact"/>
              <w:rPr>
                <w:sz w:val="20"/>
                <w:szCs w:val="20"/>
                <w:color w:val="auto"/>
              </w:rPr>
            </w:pPr>
            <w:r>
              <w:rPr>
                <w:rFonts w:ascii="Times New Roman" w:cs="Times New Roman" w:eastAsia="Times New Roman" w:hAnsi="Times New Roman"/>
                <w:sz w:val="14"/>
                <w:szCs w:val="14"/>
                <w:color w:val="auto"/>
              </w:rPr>
              <w:t xml:space="preserve">Total unencumbered debt securities </w:t>
            </w:r>
            <w:r>
              <w:rPr>
                <w:rFonts w:ascii="Times New Roman" w:cs="Times New Roman" w:eastAsia="Times New Roman" w:hAnsi="Times New Roman"/>
                <w:sz w:val="16"/>
                <w:szCs w:val="16"/>
                <w:color w:val="auto"/>
                <w:vertAlign w:val="superscript"/>
              </w:rPr>
              <w:t>1</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2,683,056</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23" w:lineRule="exact"/>
        <w:rPr>
          <w:sz w:val="20"/>
          <w:szCs w:val="20"/>
          <w:color w:val="auto"/>
        </w:rPr>
      </w:pPr>
    </w:p>
    <w:p>
      <w:pPr>
        <w:ind w:right="20" w:firstLine="5"/>
        <w:spacing w:after="0" w:line="218" w:lineRule="auto"/>
        <w:tabs>
          <w:tab w:leader="none" w:pos="62"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unencumbered debt securities at June 30, 2025, included $1.5 billion classified as available for sale and $1.2 billion classified as held to maturity. Total unencumbered debt securities at December 31, 2024, included $1.6 billion classified as available for sale, and $1.6 billion classified as held to maturity.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Capital Resources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Maintaining capital strength continues to be a long-term objective of the Company. Abundant capital is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118,550,475 have been issued as of June 30, 2025. The Company also has the capacity to issue 1,000,000 shares of preferred stock of which none have been issued as of June 30, 2025. Conversely, the Company may decide to utilize a portion of its strong capital position, as it has done in the past, to repurchase shares of its outstanding common stock, depending on market price and other relevant considerations.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June 30, 2025, management believes the Company and Bank meet all capital adequacy requirements to which they are subject and there are no conditions or events subsequent to this date that management believes have changed the Company’s or Bank’s risk-based capital category.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illustrates the Bank’s regulatory capital ratios and the Federal Reserve’s capital adequacy guidelines as of June 30,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Total Capital (To Risk-</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Tier 1 Capital (To Risk-</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Common Equity Tier 1 (To</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Leverage Ratio/</w:t>
            </w:r>
          </w:p>
        </w:tc>
        <w:tc>
          <w:tcPr>
            <w:tcW w:w="0" w:type="dxa"/>
            <w:vAlign w:val="bottom"/>
          </w:tcPr>
          <w:p>
            <w:pPr>
              <w:spacing w:after="0"/>
              <w:rPr>
                <w:sz w:val="1"/>
                <w:szCs w:val="1"/>
                <w:color w:val="auto"/>
              </w:rPr>
            </w:pPr>
          </w:p>
        </w:tc>
      </w:tr>
      <w:tr>
        <w:trPr>
          <w:trHeight w:val="138"/>
        </w:trPr>
        <w:tc>
          <w:tcPr>
            <w:tcW w:w="458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Tier 1 Capital (To Average</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Weighted Assets)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Weighted Assets)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Risk-Weighted Assets)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Glacier Bank actual regulatory ratios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13.83 %</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12.62 %</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12.62 %</w:t>
            </w: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9.47 %</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capital requirements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capital requirements plus capital conservation buffer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4"/>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Well capitalized requirements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and State Income Taxes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5.30 percent in Idaho, 4.55 percent in Utah, 4.00 percent in Colorado and 4.90 percent in Arizona. Washington, Wyoming and Nevada do not impose a corporate income tax. The Company is also required to file in states other than the eight states in which it has properties.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information relevant to the Company’s federal and state income taxes:</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Six Months ended</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Pr>
          <w:p>
            <w:pPr>
              <w:jc w:val="right"/>
              <w:ind w:right="569"/>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2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right"/>
              <w:ind w:right="64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12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6"/>
              </w:rPr>
              <w:t>128,663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90,589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Federal and state income tax expense</w:t>
            </w: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21,314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13,254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6"/>
              </w:rPr>
              <w:t>107,349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77,335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Times New Roman" w:cs="Times New Roman" w:eastAsia="Times New Roman" w:hAnsi="Times New Roman"/>
                <w:sz w:val="14"/>
                <w:szCs w:val="14"/>
                <w:color w:val="auto"/>
              </w:rPr>
              <w:t xml:space="preserve">Effective tax rate </w:t>
            </w:r>
            <w:r>
              <w:rPr>
                <w:rFonts w:ascii="Times New Roman" w:cs="Times New Roman" w:eastAsia="Times New Roman" w:hAnsi="Times New Roman"/>
                <w:sz w:val="18"/>
                <w:szCs w:val="18"/>
                <w:color w:val="auto"/>
                <w:vertAlign w:val="superscript"/>
              </w:rPr>
              <w:t>1</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6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tax-exempt debt securities, municipal loans and leases</w:t>
            </w:r>
          </w:p>
        </w:tc>
        <w:tc>
          <w:tcPr>
            <w:tcW w:w="112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41,975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42,139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Benefits from federal income tax credits</w:t>
            </w:r>
          </w:p>
        </w:tc>
        <w:tc>
          <w:tcPr>
            <w:tcW w:w="112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16,610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13,985</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37" w:lineRule="exact"/>
        <w:rPr>
          <w:sz w:val="20"/>
          <w:szCs w:val="20"/>
          <w:color w:val="auto"/>
        </w:rPr>
      </w:pPr>
    </w:p>
    <w:p>
      <w:pPr>
        <w:ind w:left="60" w:hanging="55"/>
        <w:spacing w:after="0"/>
        <w:tabs>
          <w:tab w:leader="none" w:pos="6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current and prior year’s low effective income tax rates are due to income from tax-exempt debt securities, municipal loans and leases and benefits from federal income tax credits.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Tax expense of $21.3 million for the first half of 2025 increased $8.1 million, or 61 percent, over the same period in the prior year. The effective tax rate for the first half of 2025 was 16.6 percent compared to 14.6 percent for the same period in the prior year. The increase in tax expense and the increase in the effective tax rate was primarily the result of an increase in the pre-tax income.</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has equity investments in Certified Development Entities (“CDE”) which have received allocations of New Markets Tax Credits (“NMTC”). Administered by the Community Development Financial Institutions Fund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Low-Income Housing Tax Credits (“LIHTC”) which are indirect federal subsidies used to finance the development of affordable rental housing for low-income households. The federal income tax credits are claimed over a ten-year credit allowance period. The Company has investments of $11.2 million in Qualified School Construction bonds whereby the Company receives quarterly federal income tax credits in lieu of taxable interest income. The federal income tax credits on these debt securities are subject to federal and state income tax.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list of expected federal income tax credits to be received in the years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New</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Low-Income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Debt</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Markets</w:t>
            </w: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Housing</w:t>
            </w:r>
          </w:p>
        </w:tc>
        <w:tc>
          <w:tcPr>
            <w:tcW w:w="16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Securities</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4"/>
                <w:szCs w:val="14"/>
                <w:color w:val="auto"/>
              </w:rPr>
              <w:t>Tax Credits</w:t>
            </w:r>
          </w:p>
        </w:tc>
        <w:tc>
          <w:tcPr>
            <w:tcW w:w="16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rPr>
              <w:t>Tax Credits</w:t>
            </w:r>
          </w:p>
        </w:tc>
        <w:tc>
          <w:tcPr>
            <w:tcW w:w="1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Tax Credits</w:t>
            </w:r>
          </w:p>
        </w:tc>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4"/>
                <w:szCs w:val="14"/>
                <w:color w:val="auto"/>
              </w:rPr>
              <w:t>Historic Tax Credits</w:t>
            </w:r>
          </w:p>
        </w:tc>
        <w:tc>
          <w:tcPr>
            <w:tcW w:w="1520" w:type="dxa"/>
            <w:vAlign w:val="bottom"/>
          </w:tcPr>
          <w:p>
            <w:pPr>
              <w:jc w:val="right"/>
              <w:ind w:right="549"/>
              <w:spacing w:after="0" w:line="122" w:lineRule="exact"/>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1"/>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37,495</w:t>
            </w:r>
          </w:p>
        </w:tc>
      </w:tr>
      <w:tr>
        <w:trPr>
          <w:trHeight w:val="18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30,392</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36,546</w:t>
            </w:r>
          </w:p>
        </w:tc>
      </w:tr>
      <w:tr>
        <w:trPr>
          <w:trHeight w:val="180"/>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28,031</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31,428</w:t>
            </w:r>
          </w:p>
        </w:tc>
      </w:tr>
      <w:tr>
        <w:trPr>
          <w:trHeight w:val="18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26,656</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28,457</w:t>
            </w:r>
          </w:p>
        </w:tc>
      </w:tr>
      <w:tr>
        <w:trPr>
          <w:trHeight w:val="180"/>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25,136</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26,247</w:t>
            </w:r>
          </w:p>
        </w:tc>
      </w:tr>
      <w:tr>
        <w:trPr>
          <w:trHeight w:val="180"/>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77,092</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77,198</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Average Balance Sheet</w:t>
      </w: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Six Months ended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June 30, 2025</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June 30, 2025</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Average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Interest and</w:t>
            </w: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Average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Average</w:t>
            </w:r>
          </w:p>
        </w:tc>
        <w:tc>
          <w:tcPr>
            <w:tcW w:w="120" w:type="dxa"/>
            <w:vAlign w:val="bottom"/>
          </w:tcPr>
          <w:p>
            <w:pPr>
              <w:spacing w:after="0"/>
              <w:rPr>
                <w:sz w:val="11"/>
                <w:szCs w:val="11"/>
                <w:color w:val="auto"/>
              </w:rPr>
            </w:pPr>
          </w:p>
        </w:tc>
        <w:tc>
          <w:tcPr>
            <w:tcW w:w="11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Interest and</w:t>
            </w: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7"/>
              </w:rPr>
              <w:t>Yield/</w:t>
            </w:r>
          </w:p>
        </w:tc>
        <w:tc>
          <w:tcPr>
            <w:tcW w:w="2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Yield/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000" w:type="dxa"/>
            <w:vAlign w:val="bottom"/>
          </w:tcPr>
          <w:p>
            <w:pPr>
              <w:jc w:val="right"/>
              <w:ind w:right="329"/>
              <w:spacing w:after="0" w:line="129" w:lineRule="exact"/>
              <w:rPr>
                <w:sz w:val="20"/>
                <w:szCs w:val="20"/>
                <w:color w:val="auto"/>
              </w:rPr>
            </w:pPr>
            <w:r>
              <w:rPr>
                <w:rFonts w:ascii="Times New Roman" w:cs="Times New Roman" w:eastAsia="Times New Roman" w:hAnsi="Times New Roman"/>
                <w:sz w:val="14"/>
                <w:szCs w:val="14"/>
                <w:color w:val="auto"/>
              </w:rPr>
              <w:t>Balance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Dividends</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Rate</w:t>
            </w:r>
          </w:p>
        </w:tc>
        <w:tc>
          <w:tcPr>
            <w:tcW w:w="240" w:type="dxa"/>
            <w:vAlign w:val="bottom"/>
          </w:tcPr>
          <w:p>
            <w:pPr>
              <w:spacing w:after="0"/>
              <w:rPr>
                <w:sz w:val="12"/>
                <w:szCs w:val="12"/>
                <w:color w:val="auto"/>
              </w:rPr>
            </w:pPr>
          </w:p>
        </w:tc>
        <w:tc>
          <w:tcPr>
            <w:tcW w:w="11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Balance</w:t>
            </w:r>
          </w:p>
        </w:tc>
        <w:tc>
          <w:tcPr>
            <w:tcW w:w="120" w:type="dxa"/>
            <w:vAlign w:val="bottom"/>
          </w:tcPr>
          <w:p>
            <w:pPr>
              <w:spacing w:after="0"/>
              <w:rPr>
                <w:sz w:val="12"/>
                <w:szCs w:val="12"/>
                <w:color w:val="auto"/>
              </w:rPr>
            </w:pPr>
          </w:p>
        </w:tc>
        <w:tc>
          <w:tcPr>
            <w:tcW w:w="110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Dividends</w:t>
            </w:r>
          </w:p>
        </w:tc>
        <w:tc>
          <w:tcPr>
            <w:tcW w:w="100" w:type="dxa"/>
            <w:vAlign w:val="bottom"/>
          </w:tcPr>
          <w:p>
            <w:pPr>
              <w:spacing w:after="0"/>
              <w:rPr>
                <w:sz w:val="12"/>
                <w:szCs w:val="12"/>
                <w:color w:val="auto"/>
              </w:rPr>
            </w:pP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1,940,514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1,913,157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Commercial loans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14,884,885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216,385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14,490,240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415,306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1,336,030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23,790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7.14 %</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1,319,451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46,406</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7.09 %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80" w:type="dxa"/>
            <w:vAlign w:val="bottom"/>
            <w:gridSpan w:val="2"/>
            <w:shd w:val="clear" w:color="auto" w:fill="CCEEFF"/>
          </w:tcPr>
          <w:p>
            <w:pPr>
              <w:ind w:left="420"/>
              <w:spacing w:after="0" w:line="171" w:lineRule="exact"/>
              <w:rPr>
                <w:sz w:val="20"/>
                <w:szCs w:val="20"/>
                <w:color w:val="auto"/>
              </w:rPr>
            </w:pPr>
            <w:r>
              <w:rPr>
                <w:rFonts w:ascii="Times New Roman" w:cs="Times New Roman" w:eastAsia="Times New Roman" w:hAnsi="Times New Roman"/>
                <w:sz w:val="14"/>
                <w:szCs w:val="14"/>
                <w:color w:val="auto"/>
              </w:rPr>
              <w:t xml:space="preserve">Total loans </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18,161,429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265,536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17,722,848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511,348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Tax-exempt investment securities </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1,594,895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1,599,845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Taxable investment securities </w:t>
            </w:r>
            <w:r>
              <w:rPr>
                <w:rFonts w:ascii="Times New Roman" w:cs="Times New Roman" w:eastAsia="Times New Roman" w:hAnsi="Times New Roman"/>
                <w:sz w:val="18"/>
                <w:szCs w:val="18"/>
                <w:color w:val="auto"/>
                <w:vertAlign w:val="superscript"/>
              </w:rPr>
              <w:t>4, 5</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6,645,312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6,795,105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earning assets</w:t>
            </w: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26,401,636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311,580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26,117,798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604,926</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 and intangibles</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1,153,466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1,127,279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Non-earning assets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918,007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883,125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28,473,109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28,128,202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5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6,256,245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6,123,604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NOW and DDA accounts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5,674,990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5,600,895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Savings accounts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2,904,389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Money market deposit accounts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3,000,487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2,925,396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Certificate accounts</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3,211,418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3,181,971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Total core deposits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21,047,529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20,715,016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128,328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Short-term borrowings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4"/>
                <w:szCs w:val="14"/>
                <w:color w:val="auto"/>
              </w:rPr>
              <w:t xml:space="preserve">Wholesale deposits </w:t>
            </w:r>
            <w:r>
              <w:rPr>
                <w:rFonts w:ascii="Times New Roman" w:cs="Times New Roman" w:eastAsia="Times New Roman" w:hAnsi="Times New Roman"/>
                <w:sz w:val="18"/>
                <w:szCs w:val="18"/>
                <w:color w:val="auto"/>
                <w:vertAlign w:val="superscript"/>
              </w:rPr>
              <w:t>6</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 agreements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1,898,841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1,870,962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1,494,781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1,618,702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short-term borrowings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3,399,240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and other borrowed funds</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231,902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224,031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interest bearing liabilities</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24,678,671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100,499</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24,433,326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200,445</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25,016,960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24,765,884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3,456,149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3,362,318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28,473,109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28,128,202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interest income (tax-equivalent)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211,081</w:t>
            </w: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404,481</w:t>
            </w: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interest spread (tax-equivalent)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3.10 %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interest margin (tax-equivalent)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color w:val="auto"/>
        </w:rPr>
        <w:t>Average Balance Sheet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ind w:left="60" w:hanging="55"/>
        <w:spacing w:after="0" w:line="232" w:lineRule="auto"/>
        <w:tabs>
          <w:tab w:leader="none" w:pos="6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Includes tax effect of $1.6 million and $3.1 million on tax-exempt municipal loan and lease income for the six months ended June 30, 2025, and </w:t>
      </w:r>
      <w:r>
        <w:rPr>
          <w:rFonts w:ascii="Times New Roman" w:cs="Times New Roman" w:eastAsia="Times New Roman" w:hAnsi="Times New Roman"/>
          <w:sz w:val="13"/>
          <w:szCs w:val="13"/>
          <w:color w:val="auto"/>
        </w:rPr>
        <w:t>June 30, 2024</w:t>
      </w:r>
      <w:r>
        <w:rPr>
          <w:rFonts w:ascii="Times New Roman" w:cs="Times New Roman" w:eastAsia="Times New Roman" w:hAnsi="Times New Roman"/>
          <w:sz w:val="12"/>
          <w:szCs w:val="12"/>
          <w:color w:val="auto"/>
        </w:rPr>
        <w:t xml:space="preserve"> respectively.</w:t>
      </w:r>
    </w:p>
    <w:p>
      <w:pPr>
        <w:ind w:left="60" w:hanging="55"/>
        <w:spacing w:after="0" w:line="203" w:lineRule="auto"/>
        <w:tabs>
          <w:tab w:leader="none" w:pos="6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loans are gross of the allowance for credit losses, net of unearned income and include loans held for sale. Non-accrual loans were included in the average volume for the entire period.</w:t>
      </w:r>
    </w:p>
    <w:p>
      <w:pPr>
        <w:spacing w:after="0" w:line="7" w:lineRule="exact"/>
        <w:rPr>
          <w:rFonts w:ascii="Times New Roman" w:cs="Times New Roman" w:eastAsia="Times New Roman" w:hAnsi="Times New Roman"/>
          <w:sz w:val="16"/>
          <w:szCs w:val="16"/>
          <w:color w:val="auto"/>
          <w:vertAlign w:val="superscript"/>
        </w:rPr>
      </w:pPr>
    </w:p>
    <w:p>
      <w:pPr>
        <w:spacing w:after="0" w:line="221"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Includes tax effect of $1.7 million and $3.5 million on tax-exempt debt securities income for the six months ended June 30, 2025, and </w:t>
      </w:r>
      <w:r>
        <w:rPr>
          <w:rFonts w:ascii="Times New Roman" w:cs="Times New Roman" w:eastAsia="Times New Roman" w:hAnsi="Times New Roman"/>
          <w:sz w:val="14"/>
          <w:szCs w:val="14"/>
          <w:color w:val="auto"/>
        </w:rPr>
        <w:t>June 30, 2024</w:t>
      </w:r>
      <w:r>
        <w:rPr>
          <w:rFonts w:ascii="Times New Roman" w:cs="Times New Roman" w:eastAsia="Times New Roman" w:hAnsi="Times New Roman"/>
          <w:sz w:val="13"/>
          <w:szCs w:val="13"/>
          <w:color w:val="auto"/>
        </w:rPr>
        <w:t xml:space="preserve"> respectively.</w:t>
      </w:r>
    </w:p>
    <w:p>
      <w:pPr>
        <w:ind w:right="460"/>
        <w:spacing w:after="0" w:line="214"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Includes interest income of $4.8 million and $11.0 million on average interest-bearing cash balances of $433.7 million and $0.5 billion for the three months ended June 30, 2025, and </w:t>
      </w:r>
      <w:r>
        <w:rPr>
          <w:rFonts w:ascii="Times New Roman" w:cs="Times New Roman" w:eastAsia="Times New Roman" w:hAnsi="Times New Roman"/>
          <w:sz w:val="14"/>
          <w:szCs w:val="14"/>
          <w:color w:val="auto"/>
        </w:rPr>
        <w:t>June 30, 2024</w:t>
      </w:r>
      <w:r>
        <w:rPr>
          <w:rFonts w:ascii="Times New Roman" w:cs="Times New Roman" w:eastAsia="Times New Roman" w:hAnsi="Times New Roman"/>
          <w:sz w:val="13"/>
          <w:szCs w:val="13"/>
          <w:color w:val="auto"/>
        </w:rPr>
        <w:t xml:space="preserve"> respectively. </w:t>
      </w: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3"/>
          <w:szCs w:val="13"/>
          <w:color w:val="auto"/>
        </w:rPr>
        <w:t xml:space="preserve"> Includes tax effect of $151 thousand and $301 thousand on federal income tax credits for the six months ended June 30, 2025, and </w:t>
      </w:r>
      <w:r>
        <w:rPr>
          <w:rFonts w:ascii="Times New Roman" w:cs="Times New Roman" w:eastAsia="Times New Roman" w:hAnsi="Times New Roman"/>
          <w:sz w:val="14"/>
          <w:szCs w:val="14"/>
          <w:color w:val="auto"/>
        </w:rPr>
        <w:t>June 30, 2024</w:t>
      </w:r>
      <w:r>
        <w:rPr>
          <w:rFonts w:ascii="Times New Roman" w:cs="Times New Roman" w:eastAsia="Times New Roman" w:hAnsi="Times New Roman"/>
          <w:sz w:val="13"/>
          <w:szCs w:val="13"/>
          <w:color w:val="auto"/>
        </w:rPr>
        <w:t xml:space="preserve"> respectively.</w:t>
      </w: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13"/>
          <w:szCs w:val="13"/>
          <w:color w:val="auto"/>
        </w:rPr>
        <w:t xml:space="preserve"> Wholesale deposits include brokered deposits classified as NOW, DDA, money market deposit and certificate accounts with contractual maturities.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Rate/Volume Analysis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00" w:type="dxa"/>
            <w:vAlign w:val="bottom"/>
            <w:gridSpan w:val="5"/>
          </w:tcPr>
          <w:p>
            <w:pPr>
              <w:jc w:val="center"/>
              <w:ind w:left="770"/>
              <w:spacing w:after="0"/>
              <w:rPr>
                <w:sz w:val="20"/>
                <w:szCs w:val="20"/>
                <w:color w:val="auto"/>
              </w:rPr>
            </w:pPr>
            <w:r>
              <w:rPr>
                <w:rFonts w:ascii="Times New Roman" w:cs="Times New Roman" w:eastAsia="Times New Roman" w:hAnsi="Times New Roman"/>
                <w:sz w:val="14"/>
                <w:szCs w:val="14"/>
                <w:color w:val="auto"/>
              </w:rPr>
              <w:t>Six Months ended June 30, 2025</w:t>
            </w:r>
          </w:p>
        </w:tc>
        <w:tc>
          <w:tcPr>
            <w:tcW w:w="11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rPr>
              <w:t>2025 vs. 2024</w:t>
            </w:r>
          </w:p>
        </w:tc>
        <w:tc>
          <w:tcPr>
            <w:tcW w:w="116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color w:val="auto"/>
              </w:rPr>
              <w:t>Increase (Decrease) Due to:</w:t>
            </w:r>
          </w:p>
        </w:tc>
        <w:tc>
          <w:tcPr>
            <w:tcW w:w="11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64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1"/>
                <w:szCs w:val="11"/>
                <w:color w:val="auto"/>
              </w:rPr>
            </w:pPr>
          </w:p>
        </w:tc>
        <w:tc>
          <w:tcPr>
            <w:tcW w:w="1220" w:type="dxa"/>
            <w:vAlign w:val="bottom"/>
          </w:tcPr>
          <w:p>
            <w:pPr>
              <w:jc w:val="right"/>
              <w:ind w:right="490"/>
              <w:spacing w:after="0" w:line="118" w:lineRule="exact"/>
              <w:rPr>
                <w:sz w:val="20"/>
                <w:szCs w:val="20"/>
                <w:color w:val="auto"/>
              </w:rPr>
            </w:pPr>
            <w:r>
              <w:rPr>
                <w:rFonts w:ascii="Times New Roman" w:cs="Times New Roman" w:eastAsia="Times New Roman" w:hAnsi="Times New Roman"/>
                <w:sz w:val="13"/>
                <w:szCs w:val="13"/>
                <w:color w:val="auto"/>
              </w:rPr>
              <w:t>Volume</w:t>
            </w:r>
          </w:p>
        </w:tc>
        <w:tc>
          <w:tcPr>
            <w:tcW w:w="80" w:type="dxa"/>
            <w:vAlign w:val="bottom"/>
          </w:tcPr>
          <w:p>
            <w:pPr>
              <w:spacing w:after="0"/>
              <w:rPr>
                <w:sz w:val="11"/>
                <w:szCs w:val="11"/>
                <w:color w:val="auto"/>
              </w:rPr>
            </w:pPr>
          </w:p>
        </w:tc>
        <w:tc>
          <w:tcPr>
            <w:tcW w:w="200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color w:val="auto"/>
              </w:rPr>
              <w:t>Rate</w:t>
            </w:r>
          </w:p>
        </w:tc>
        <w:tc>
          <w:tcPr>
            <w:tcW w:w="1160" w:type="dxa"/>
            <w:vAlign w:val="bottom"/>
          </w:tcPr>
          <w:p>
            <w:pPr>
              <w:jc w:val="right"/>
              <w:ind w:right="590"/>
              <w:spacing w:after="0" w:line="118" w:lineRule="exact"/>
              <w:rPr>
                <w:sz w:val="20"/>
                <w:szCs w:val="20"/>
                <w:color w:val="auto"/>
              </w:rPr>
            </w:pPr>
            <w:r>
              <w:rPr>
                <w:rFonts w:ascii="Times New Roman" w:cs="Times New Roman" w:eastAsia="Times New Roman" w:hAnsi="Times New Roman"/>
                <w:sz w:val="13"/>
                <w:szCs w:val="13"/>
                <w:color w:val="auto"/>
              </w:rPr>
              <w:t>Net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7,118</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loans (tax-equivalent)</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42,322</w:t>
            </w:r>
          </w:p>
        </w:tc>
      </w:tr>
      <w:tr>
        <w:trPr>
          <w:trHeight w:val="180"/>
        </w:trPr>
        <w:tc>
          <w:tcPr>
            <w:tcW w:w="20" w:type="dxa"/>
            <w:vAlign w:val="bottom"/>
          </w:tcPr>
          <w:p>
            <w:pPr>
              <w:spacing w:after="0"/>
              <w:rPr>
                <w:sz w:val="15"/>
                <w:szCs w:val="15"/>
                <w:color w:val="auto"/>
              </w:rPr>
            </w:pPr>
          </w:p>
        </w:tc>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3,869</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 securities (tax-equivalent)</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w:t>
            </w:r>
          </w:p>
        </w:tc>
      </w:tr>
      <w:tr>
        <w:trPr>
          <w:trHeight w:val="171"/>
        </w:trPr>
        <w:tc>
          <w:tcPr>
            <w:tcW w:w="20" w:type="dxa"/>
            <w:vAlign w:val="bottom"/>
          </w:tcPr>
          <w:p>
            <w:pPr>
              <w:spacing w:after="0"/>
              <w:rPr>
                <w:sz w:val="14"/>
                <w:szCs w:val="14"/>
                <w:color w:val="auto"/>
              </w:rPr>
            </w:pPr>
          </w:p>
        </w:tc>
        <w:tc>
          <w:tcPr>
            <w:tcW w:w="64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interest income</w:t>
            </w: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15,391</w:t>
            </w:r>
          </w:p>
        </w:tc>
        <w:tc>
          <w:tcPr>
            <w:tcW w:w="80" w:type="dxa"/>
            <w:vAlign w:val="bottom"/>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28,292</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43,683</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NOW and DDA accounts</w:t>
            </w: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Savings accounts</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r>
      <w:tr>
        <w:trPr>
          <w:trHeight w:val="180"/>
        </w:trPr>
        <w:tc>
          <w:tcPr>
            <w:tcW w:w="20" w:type="dxa"/>
            <w:vAlign w:val="bottom"/>
          </w:tcPr>
          <w:p>
            <w:pPr>
              <w:spacing w:after="0"/>
              <w:rPr>
                <w:sz w:val="15"/>
                <w:szCs w:val="15"/>
                <w:color w:val="auto"/>
              </w:rPr>
            </w:pPr>
          </w:p>
        </w:tc>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Money market deposit accounts</w:t>
            </w: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Certificate accounts</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w:t>
            </w:r>
          </w:p>
        </w:tc>
      </w:tr>
      <w:tr>
        <w:trPr>
          <w:trHeight w:val="180"/>
        </w:trPr>
        <w:tc>
          <w:tcPr>
            <w:tcW w:w="20" w:type="dxa"/>
            <w:vAlign w:val="bottom"/>
          </w:tcPr>
          <w:p>
            <w:pPr>
              <w:spacing w:after="0"/>
              <w:rPr>
                <w:sz w:val="15"/>
                <w:szCs w:val="15"/>
                <w:color w:val="auto"/>
              </w:rPr>
            </w:pPr>
          </w:p>
        </w:tc>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Wholesale deposits</w:t>
            </w: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Repurchase agreements</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r>
      <w:tr>
        <w:trPr>
          <w:trHeight w:val="180"/>
        </w:trPr>
        <w:tc>
          <w:tcPr>
            <w:tcW w:w="20" w:type="dxa"/>
            <w:vAlign w:val="bottom"/>
          </w:tcPr>
          <w:p>
            <w:pPr>
              <w:spacing w:after="0"/>
              <w:rPr>
                <w:sz w:val="15"/>
                <w:szCs w:val="15"/>
                <w:color w:val="auto"/>
              </w:rPr>
            </w:pPr>
          </w:p>
        </w:tc>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FHLB advances</w:t>
            </w: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10,097</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FRB Bank Term Funding</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(27,097)</w:t>
            </w:r>
          </w:p>
        </w:tc>
        <w:tc>
          <w:tcPr>
            <w:tcW w:w="8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(27,097)</w:t>
            </w:r>
          </w:p>
        </w:tc>
      </w:tr>
      <w:tr>
        <w:trPr>
          <w:trHeight w:val="180"/>
        </w:trPr>
        <w:tc>
          <w:tcPr>
            <w:tcW w:w="20" w:type="dxa"/>
            <w:vAlign w:val="bottom"/>
          </w:tcPr>
          <w:p>
            <w:pPr>
              <w:spacing w:after="0"/>
              <w:rPr>
                <w:sz w:val="15"/>
                <w:szCs w:val="15"/>
                <w:color w:val="auto"/>
              </w:rPr>
            </w:pPr>
          </w:p>
        </w:tc>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Subordinated debentures and other borrowed funds</w:t>
            </w: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44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interest expense</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(19,833)</w:t>
            </w:r>
          </w:p>
        </w:tc>
      </w:tr>
      <w:tr>
        <w:trPr>
          <w:trHeight w:val="171"/>
        </w:trPr>
        <w:tc>
          <w:tcPr>
            <w:tcW w:w="20" w:type="dxa"/>
            <w:vAlign w:val="bottom"/>
          </w:tcPr>
          <w:p>
            <w:pPr>
              <w:spacing w:after="0"/>
              <w:rPr>
                <w:sz w:val="14"/>
                <w:szCs w:val="14"/>
                <w:color w:val="auto"/>
              </w:rPr>
            </w:pPr>
          </w:p>
        </w:tc>
        <w:tc>
          <w:tcPr>
            <w:tcW w:w="64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interest income (tax-equivalent)</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22,309</w:t>
            </w:r>
          </w:p>
        </w:tc>
        <w:tc>
          <w:tcPr>
            <w:tcW w:w="8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41,207</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63,516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interest income (tax-equivalent) decreased $63.5 million for the six months ended June 30, 2025 compared to the same period in 2024. The interest income for the first six months of the current year increased over the same period in the prior year, primarily from increased loan yields and loan growth. The decrease in interest expense for the first six months of the current year compared to prior year was primarily the result of a decrease in interest rates and the pay down of the FRB Bank Term Funding in the prior year.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Market Risk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risk is the risk of loss in a financial instrument arising from adverse changes in market rates/prices such as interest rates, foreign currency exchange rates, commodity prices, and equity prices.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primary market risk exposure is 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Rate Risk</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Net interest income simulation</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200 bps, and 400 bps scenarios with instantaneous and 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 The following is indicative of the Company’s overall NII sensitivity analysis as of June 30, 2025.</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1029"/>
              <w:spacing w:after="0"/>
              <w:rPr>
                <w:sz w:val="20"/>
                <w:szCs w:val="20"/>
                <w:color w:val="auto"/>
              </w:rPr>
            </w:pPr>
            <w:r>
              <w:rPr>
                <w:rFonts w:ascii="Times New Roman" w:cs="Times New Roman" w:eastAsia="Times New Roman" w:hAnsi="Times New Roman"/>
                <w:sz w:val="14"/>
                <w:szCs w:val="14"/>
                <w:color w:val="auto"/>
              </w:rPr>
              <w:t>Estimated Sensitivity</w:t>
            </w:r>
          </w:p>
        </w:tc>
      </w:tr>
      <w:tr>
        <w:trPr>
          <w:trHeight w:val="17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Scenarios</w:t>
            </w:r>
          </w:p>
        </w:tc>
        <w:tc>
          <w:tcPr>
            <w:tcW w:w="17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One Year</w:t>
            </w:r>
          </w:p>
        </w:tc>
        <w:tc>
          <w:tcPr>
            <w:tcW w:w="16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Two Years</w:t>
            </w:r>
          </w:p>
        </w:tc>
      </w:tr>
      <w:tr>
        <w:trPr>
          <w:trHeight w:val="171"/>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 bp Rate ramp</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r>
      <w:tr>
        <w:trPr>
          <w:trHeight w:val="18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bp Rate ramp</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bp Rate shock</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18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bp Rate shock</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bp Rate shock</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bp Rate shock</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8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bp Rate ramp</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+400 bp Rate ramp</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r>
    </w:tbl>
    <w:p>
      <w:pPr>
        <w:spacing w:after="0" w:line="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preceding sensitivity analysis does not represent a forecast and should not be relied upon as being indicative of expected operating results. Growth in the Company’s core deposit franchise, updated deposit pricing assumptions, and other balance sheet changes.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 about Market Risk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“Market Risk” of this Management’s Discussion and Analysis of Financial Condition and Results of Operations in this Form 10-Q.</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Evaluation of Disclosure Controls and Procedures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Company’s Chief Executive Officer and Chief Financial Officer have reviewed and evaluated the effectiveness of the Company’s disclosure controls and procedures (as required by Exchange Act Rules 240.13a-15(b) and 15d-14(c)) as of June 30, 2025.</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acquired Bank of Idaho Holding Co. and its wholly-owned subsidiary, Bank of Idaho, (collectively “BOI”) during the second quarter of 2025. Management excluded from its assessment of the effectiveness of the Company’s internal control over financial reporting as of June 30, 2025 BOI’s internal control over financial reporting associated with total assets of $1.3 billion, or 4% of the Company’s total consolidated assets, and net interest income of $9.2 million, or 2% of the Company’s total consolidated net interest income.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Changes in Internal Controls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There have not been any changes in the Company’s internal control over financial reporting (as such term is defined in Rules 13a-15(f) and 15d-15(f) under the Exchange Act) during the second quarter of 2025, to which this report relates that have materially affected, or are reasonably likely to materially affect the Company’s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involved in various claims, legal actions and complaints which arise in the ordinary course of business. In the Company’s opinion, all such matters are adequately covered by insurance, are without merit or are of such kind, or involve such amounts, that unfavorable disposition would not have a material adverse effect on the financial condition or results of operations of the Company.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believes there have been no material changes from the risk factor previously disclosed in the Company’s 2024 Annual Report on Form 10-K and Quarterly Report on Form 10-Q for the quarter ended March 31, 2025. The risks and uncertainties described in those reports should be carefully reviewed. These are not the only risks and uncertainties that the Company faces. Additional risks and uncertainties that the Company does not currently know about or that we currently believe are immaterial, or that the Company has not predicted, may also harm our business operations or adversely affect the Company. If any of these risks or uncertainties actually occurs, the Company’s business, financial condition, operating results or liquidity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6"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96" w:lineRule="exact"/>
        <w:rPr>
          <w:sz w:val="20"/>
          <w:szCs w:val="20"/>
          <w:color w:val="auto"/>
        </w:rPr>
      </w:pPr>
    </w:p>
    <w:p>
      <w:pPr>
        <w:ind w:left="740" w:hanging="258"/>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9" w:lineRule="exact"/>
        <w:rPr>
          <w:rFonts w:ascii="Times New Roman" w:cs="Times New Roman" w:eastAsia="Times New Roman" w:hAnsi="Times New Roman"/>
          <w:sz w:val="14"/>
          <w:szCs w:val="14"/>
          <w:color w:val="auto"/>
        </w:rPr>
      </w:pPr>
    </w:p>
    <w:p>
      <w:pPr>
        <w:ind w:left="740" w:hanging="258"/>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9" w:lineRule="exact"/>
        <w:rPr>
          <w:rFonts w:ascii="Times New Roman" w:cs="Times New Roman" w:eastAsia="Times New Roman" w:hAnsi="Times New Roman"/>
          <w:sz w:val="14"/>
          <w:szCs w:val="14"/>
          <w:color w:val="auto"/>
        </w:rPr>
      </w:pPr>
    </w:p>
    <w:p>
      <w:pPr>
        <w:ind w:left="740" w:hanging="258"/>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96" w:lineRule="exact"/>
        <w:rPr>
          <w:sz w:val="20"/>
          <w:szCs w:val="20"/>
          <w:color w:val="auto"/>
        </w:rPr>
      </w:pPr>
    </w:p>
    <w:p>
      <w:pPr>
        <w:ind w:left="740" w:hanging="258"/>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9" w:lineRule="exact"/>
        <w:rPr>
          <w:rFonts w:ascii="Times New Roman" w:cs="Times New Roman" w:eastAsia="Times New Roman" w:hAnsi="Times New Roman"/>
          <w:sz w:val="14"/>
          <w:szCs w:val="14"/>
          <w:color w:val="auto"/>
        </w:rPr>
      </w:pPr>
    </w:p>
    <w:p>
      <w:pPr>
        <w:ind w:left="740" w:hanging="258"/>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96" w:lineRule="exact"/>
        <w:rPr>
          <w:sz w:val="20"/>
          <w:szCs w:val="20"/>
          <w:color w:val="auto"/>
        </w:rPr>
      </w:pPr>
    </w:p>
    <w:p>
      <w:pPr>
        <w:ind w:left="740" w:hanging="258"/>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9" w:lineRule="exact"/>
        <w:rPr>
          <w:rFonts w:ascii="Times New Roman" w:cs="Times New Roman" w:eastAsia="Times New Roman" w:hAnsi="Times New Roman"/>
          <w:sz w:val="14"/>
          <w:szCs w:val="14"/>
          <w:color w:val="auto"/>
        </w:rPr>
      </w:pPr>
    </w:p>
    <w:p>
      <w:pPr>
        <w:ind w:left="740" w:hanging="258"/>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9" w:lineRule="exact"/>
        <w:rPr>
          <w:rFonts w:ascii="Times New Roman" w:cs="Times New Roman" w:eastAsia="Times New Roman" w:hAnsi="Times New Roman"/>
          <w:sz w:val="14"/>
          <w:szCs w:val="14"/>
          <w:color w:val="auto"/>
        </w:rPr>
      </w:pPr>
    </w:p>
    <w:p>
      <w:pPr>
        <w:ind w:left="740" w:hanging="258"/>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17"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75"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2025 Stock Incentive Plan</w:t>
      </w:r>
    </w:p>
    <w:p>
      <w:pPr>
        <w:spacing w:after="0" w:line="200"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u w:val="single" w:color="auto"/>
          <w:color w:val="0000FF"/>
        </w:rPr>
        <w:t>Form of Restricted Share Units Award Agreement under 2025 Stock Incentive Plan</w:t>
      </w:r>
    </w:p>
    <w:p>
      <w:pPr>
        <w:spacing w:after="0" w:line="200"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u w:val="single" w:color="auto"/>
          <w:color w:val="0000FF"/>
        </w:rPr>
        <w:t>Form of Restricted Share Units Award Agreement under 2025 Stock Incentive Plan (409A Exempt)</w:t>
      </w:r>
    </w:p>
    <w:p>
      <w:pPr>
        <w:spacing w:after="0" w:line="200"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Chief Executive Officer pursuant to Section 302 of the Sarbanes - Oxley Act of 2002</w:t>
      </w:r>
    </w:p>
    <w:p>
      <w:pPr>
        <w:spacing w:after="0" w:line="200"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Chief Financial Officer pursuant to Section 302 of the Sarbanes - Oxley Act of 2002</w:t>
      </w:r>
    </w:p>
    <w:p>
      <w:pPr>
        <w:spacing w:after="0" w:line="200" w:lineRule="exact"/>
        <w:rPr>
          <w:sz w:val="20"/>
          <w:szCs w:val="20"/>
          <w:color w:val="auto"/>
        </w:rPr>
      </w:pPr>
    </w:p>
    <w:p>
      <w:pPr>
        <w:ind w:left="800" w:hanging="286"/>
        <w:spacing w:after="0"/>
        <w:tabs>
          <w:tab w:leader="none" w:pos="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Certification of Chief Executive Officer and Chief Financial Officer pursuant to 18 U.S.C. Section 1350, as adopted pursuant to Section 906 of the Sarbanes - Oxley Act of 2002</w:t>
      </w:r>
    </w:p>
    <w:p>
      <w:pPr>
        <w:spacing w:after="0" w:line="20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9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3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3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3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r>
      <w:tr>
        <w:trPr>
          <w:trHeight w:val="3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bl>
    <w:p>
      <w:pPr>
        <w:spacing w:after="0" w:line="177" w:lineRule="exact"/>
        <w:rPr>
          <w:sz w:val="20"/>
          <w:szCs w:val="20"/>
          <w:color w:val="auto"/>
        </w:rPr>
      </w:pPr>
    </w:p>
    <w:p>
      <w:pPr>
        <w:ind w:left="860" w:hanging="346"/>
        <w:spacing w:after="0"/>
        <w:tabs>
          <w:tab w:leader="none" w:pos="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7"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300" w:top="825" w:right="779" w:bottom="1440" w:gutter="0" w:footer="0" w:header="0"/>
        </w:sectPr>
      </w:pPr>
    </w:p>
    <w:bookmarkStart w:id="84" w:name="page85"/>
    <w:bookmarkEnd w:id="84"/>
    <w:p>
      <w:pPr>
        <w:ind w:left="5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GLACIER BANCORP,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August 1, 2025</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Randall M. Chesler</w:t>
            </w:r>
          </w:p>
        </w:tc>
      </w:tr>
      <w:tr>
        <w:trPr>
          <w:trHeight w:val="167"/>
        </w:trPr>
        <w:tc>
          <w:tcPr>
            <w:tcW w:w="5520" w:type="dxa"/>
            <w:vAlign w:val="bottom"/>
          </w:tcPr>
          <w:p>
            <w:pPr>
              <w:spacing w:after="0"/>
              <w:rPr>
                <w:sz w:val="14"/>
                <w:szCs w:val="14"/>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Randall M. Chesler</w:t>
            </w:r>
          </w:p>
        </w:tc>
      </w:tr>
      <w:tr>
        <w:trPr>
          <w:trHeight w:val="184"/>
        </w:trPr>
        <w:tc>
          <w:tcPr>
            <w:tcW w:w="552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CEO</w:t>
            </w:r>
          </w:p>
        </w:tc>
      </w:tr>
      <w:tr>
        <w:trPr>
          <w:trHeight w:val="393"/>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August 1, 2025</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Ron J. Copher</w:t>
            </w:r>
          </w:p>
        </w:tc>
      </w:tr>
      <w:tr>
        <w:trPr>
          <w:trHeight w:val="167"/>
        </w:trPr>
        <w:tc>
          <w:tcPr>
            <w:tcW w:w="5520" w:type="dxa"/>
            <w:vAlign w:val="bottom"/>
          </w:tcPr>
          <w:p>
            <w:pPr>
              <w:spacing w:after="0"/>
              <w:rPr>
                <w:sz w:val="14"/>
                <w:szCs w:val="14"/>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Ron J. Copher</w:t>
            </w:r>
          </w:p>
        </w:tc>
      </w:tr>
      <w:tr>
        <w:trPr>
          <w:trHeight w:val="184"/>
        </w:trPr>
        <w:tc>
          <w:tcPr>
            <w:tcW w:w="552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380"/>
          </w:cols>
          <w:pgMar w:left="300" w:top="825" w:right="1219" w:bottom="1440"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Randall M. Chesler, certify that:</w:t>
      </w:r>
    </w:p>
    <w:p>
      <w:pPr>
        <w:spacing w:after="0" w:line="94"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Glacier Bancorp, Inc.</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August 1,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Randall M. Chesler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Randall M. Chesler</w:t>
            </w:r>
          </w:p>
        </w:tc>
      </w:tr>
      <w:tr>
        <w:trPr>
          <w:trHeight w:val="184"/>
        </w:trPr>
        <w:tc>
          <w:tcPr>
            <w:tcW w:w="5960" w:type="dxa"/>
            <w:vAlign w:val="bottom"/>
          </w:tcPr>
          <w:p>
            <w:pPr>
              <w:spacing w:after="0"/>
              <w:rPr>
                <w:sz w:val="16"/>
                <w:szCs w:val="16"/>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President/CEO</w:t>
            </w:r>
          </w:p>
        </w:tc>
      </w:tr>
    </w:tbl>
    <w:p>
      <w:pPr>
        <w:sectPr>
          <w:pgSz w:w="11900" w:h="16838" w:orient="portrait"/>
          <w:cols w:equalWidth="0" w:num="1">
            <w:col w:w="11280"/>
          </w:cols>
          <w:pgMar w:left="300" w:top="316"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Ron J. Copher, certify that:</w:t>
      </w:r>
    </w:p>
    <w:p>
      <w:pPr>
        <w:spacing w:after="0" w:line="94"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Glacier Bancorp, Inc.</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August 1,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Ron J. Copher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Ron J. Copher</w:t>
            </w:r>
          </w:p>
        </w:tc>
      </w:tr>
      <w:tr>
        <w:trPr>
          <w:trHeight w:val="184"/>
        </w:trPr>
        <w:tc>
          <w:tcPr>
            <w:tcW w:w="5960" w:type="dxa"/>
            <w:vAlign w:val="bottom"/>
          </w:tcPr>
          <w:p>
            <w:pPr>
              <w:spacing w:after="0"/>
              <w:rPr>
                <w:sz w:val="16"/>
                <w:szCs w:val="16"/>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President/CFO</w:t>
            </w:r>
          </w:p>
        </w:tc>
      </w:tr>
    </w:tbl>
    <w:p>
      <w:pPr>
        <w:sectPr>
          <w:pgSz w:w="11900" w:h="16838" w:orient="portrait"/>
          <w:cols w:equalWidth="0" w:num="1">
            <w:col w:w="11280"/>
          </w:cols>
          <w:pgMar w:left="300" w:top="316"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Glacier Bancorp, Inc. (“Company”) on Form 10-Q for the period ended June 30, 2025,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spacing w:after="0" w:line="51" w:lineRule="exact"/>
        <w:rPr>
          <w:sz w:val="20"/>
          <w:szCs w:val="20"/>
          <w:color w:val="auto"/>
        </w:rPr>
      </w:pPr>
    </w:p>
    <w:p>
      <w:pPr>
        <w:ind w:left="440" w:hanging="244"/>
        <w:spacing w:after="0"/>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 78m or 78o(d)); and</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August 1,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Randall M. Chesler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Randall M. Chesler</w:t>
            </w:r>
          </w:p>
        </w:tc>
      </w:tr>
      <w:tr>
        <w:trPr>
          <w:trHeight w:val="180"/>
        </w:trPr>
        <w:tc>
          <w:tcPr>
            <w:tcW w:w="59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President/CEO</w:t>
            </w:r>
          </w:p>
        </w:tc>
      </w:t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August 1,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Ron J. Copher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Ron J. Copher</w:t>
            </w:r>
          </w:p>
        </w:tc>
      </w:tr>
      <w:tr>
        <w:trPr>
          <w:trHeight w:val="184"/>
        </w:trPr>
        <w:tc>
          <w:tcPr>
            <w:tcW w:w="5960" w:type="dxa"/>
            <w:vAlign w:val="bottom"/>
          </w:tcPr>
          <w:p>
            <w:pPr>
              <w:spacing w:after="0"/>
              <w:rPr>
                <w:sz w:val="16"/>
                <w:szCs w:val="16"/>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President/CFO</w:t>
            </w:r>
          </w:p>
        </w:tc>
      </w:tr>
    </w:tbl>
    <w:p>
      <w:pPr>
        <w:spacing w:after="0" w:line="1" w:lineRule="exact"/>
        <w:rPr>
          <w:sz w:val="20"/>
          <w:szCs w:val="20"/>
          <w:color w:val="auto"/>
        </w:rPr>
      </w:pPr>
    </w:p>
    <w:sectPr>
      <w:pgSz w:w="11900" w:h="16838" w:orient="portrait"/>
      <w:cols w:equalWidth="0" w:num="1">
        <w:col w:w="11280"/>
      </w:cols>
      <w:pgMar w:left="300" w:top="3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68"/>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1"/>
      <w:numFmt w:val="bullet"/>
      <w:start w:val="1"/>
    </w:lvl>
  </w:abstractNum>
  <w:abstractNum w:abstractNumId="20">
    <w:nsid w:val="79838CB2"/>
    <w:multiLevelType w:val="hybridMultilevel"/>
    <w:lvl w:ilvl="0">
      <w:lvlJc w:val="left"/>
      <w:lvlText w:val="2"/>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decimal"/>
      <w:start w:val="32"/>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2025-08-01T15:52:33Z</dcterms:created>
  <dcterms:modified xsi:type="dcterms:W3CDTF">2025-08-01T15:52:33Z</dcterms:modified>
</cp:coreProperties>
</file>