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April 29, 2026</w:t>
      </w:r>
    </w:p>
    <w:p>
      <w:pPr>
        <w:spacing w:after="0" w:line="17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GLACIER BANCORP, INC.</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ind w:left="4200"/>
        <w:spacing w:after="0" w:line="237"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ectPr>
          <w:pgSz w:w="11900" w:h="16838" w:orient="portrait"/>
          <w:cols w:equalWidth="0" w:num="1">
            <w:col w:w="11300"/>
          </w:cols>
          <w:pgMar w:left="300" w:top="700" w:right="299" w:bottom="1440" w:gutter="0" w:footer="0" w:header="0"/>
        </w:sectPr>
      </w:pPr>
    </w:p>
    <w:p>
      <w:pPr>
        <w:spacing w:after="0" w:line="1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Montana</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3"/>
          <w:szCs w:val="13"/>
          <w:b w:val="1"/>
          <w:bCs w:val="1"/>
          <w:color w:val="auto"/>
        </w:rPr>
        <w:t>001-41170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81-0519541</w:t>
      </w:r>
    </w:p>
    <w:p>
      <w:pPr>
        <w:spacing w:after="0" w:line="19" w:lineRule="exact"/>
        <w:rPr>
          <w:sz w:val="24"/>
          <w:szCs w:val="24"/>
          <w:color w:val="auto"/>
        </w:rPr>
      </w:pPr>
    </w:p>
    <w:p>
      <w:pPr>
        <w:sectPr>
          <w:pgSz w:w="11900" w:h="16838" w:orient="portrait"/>
          <w:cols w:equalWidth="0" w:num="3">
            <w:col w:w="4620" w:space="720"/>
            <w:col w:w="3020" w:space="720"/>
            <w:col w:w="2220"/>
          </w:cols>
          <w:pgMar w:left="300" w:top="700" w:right="299" w:bottom="1440" w:gutter="0" w:footer="0" w:header="0"/>
          <w:type w:val="continuous"/>
        </w:sectPr>
      </w:pPr>
    </w:p>
    <w:p>
      <w:pPr>
        <w:spacing w:after="0" w:line="1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99" w:lineRule="exact"/>
        <w:rPr>
          <w:sz w:val="24"/>
          <w:szCs w:val="24"/>
          <w:color w:val="auto"/>
        </w:rPr>
      </w:pPr>
    </w:p>
    <w:p>
      <w:pPr>
        <w:sectPr>
          <w:pgSz w:w="11900" w:h="16838" w:orient="portrait"/>
          <w:cols w:equalWidth="0" w:num="3">
            <w:col w:w="4640" w:space="720"/>
            <w:col w:w="2960" w:space="720"/>
            <w:col w:w="2260"/>
          </w:cols>
          <w:pgMar w:left="300" w:top="700" w:right="29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49 Commons Loop,</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Kalispell,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Montana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59901</w:t>
      </w:r>
    </w:p>
    <w:p>
      <w:pPr>
        <w:spacing w:after="0" w:line="29" w:lineRule="exact"/>
        <w:rPr>
          <w:sz w:val="24"/>
          <w:szCs w:val="24"/>
          <w:color w:val="auto"/>
        </w:rPr>
      </w:pPr>
    </w:p>
    <w:p>
      <w:pPr>
        <w:sectPr>
          <w:pgSz w:w="11900" w:h="16838" w:orient="portrait"/>
          <w:cols w:equalWidth="0" w:num="4">
            <w:col w:w="2720" w:space="320"/>
            <w:col w:w="580" w:space="340"/>
            <w:col w:w="3580" w:space="720"/>
            <w:col w:w="3040"/>
          </w:cols>
          <w:pgMar w:left="300" w:top="700" w:right="29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05" w:lineRule="exact"/>
        <w:rPr>
          <w:sz w:val="24"/>
          <w:szCs w:val="24"/>
          <w:color w:val="auto"/>
        </w:rPr>
      </w:pPr>
    </w:p>
    <w:p>
      <w:pPr>
        <w:sectPr>
          <w:pgSz w:w="11900" w:h="16838" w:orient="portrait"/>
          <w:cols w:equalWidth="0" w:num="2">
            <w:col w:w="7500" w:space="720"/>
            <w:col w:w="3080"/>
          </w:cols>
          <w:pgMar w:left="300" w:top="700" w:right="29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(406) 756-4200</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ectPr>
          <w:pgSz w:w="11900" w:h="16838" w:orient="portrait"/>
          <w:cols w:equalWidth="0" w:num="1">
            <w:col w:w="11300"/>
          </w:cols>
          <w:pgMar w:left="300" w:top="700" w:right="299" w:bottom="1440" w:gutter="0" w:footer="0" w:header="0"/>
          <w:type w:val="continuous"/>
        </w:sectPr>
      </w:pPr>
    </w:p>
    <w:p>
      <w:pPr>
        <w:spacing w:after="0" w:line="9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6"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2"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60"/>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GBCI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bl>
    <w:p>
      <w:pPr>
        <w:spacing w:after="0" w:line="21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4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65"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349885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0" w:right="29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165"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4"/>
          <w:szCs w:val="14"/>
          <w:color w:val="auto"/>
        </w:rPr>
        <w:t>The 2026 Annual Meeting of Shareholders of Glacier Bancorp, Inc. (the “Company”) was held in Kalispell, Montana on April 29, 2026. The following matters were voted upon at the Annual Meeting:</w:t>
      </w:r>
    </w:p>
    <w:p>
      <w:pPr>
        <w:spacing w:after="0" w:line="311" w:lineRule="exact"/>
        <w:rPr>
          <w:sz w:val="20"/>
          <w:szCs w:val="20"/>
          <w:color w:val="auto"/>
        </w:rPr>
      </w:pPr>
    </w:p>
    <w:p>
      <w:pPr>
        <w:ind w:left="428" w:hanging="212"/>
        <w:spacing w:after="0"/>
        <w:tabs>
          <w:tab w:leader="none" w:pos="428"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ten directors to serve on the board of directors until the 2027 annual meeting;</w:t>
      </w:r>
    </w:p>
    <w:p>
      <w:pPr>
        <w:spacing w:after="0" w:line="163"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(non-binding) resolution to approve the compensation of the Company’s Named Executive Officers; and</w:t>
      </w:r>
    </w:p>
    <w:p>
      <w:pPr>
        <w:spacing w:after="0" w:line="163" w:lineRule="exact"/>
        <w:rPr>
          <w:rFonts w:ascii="Times New Roman" w:cs="Times New Roman" w:eastAsia="Times New Roman" w:hAnsi="Times New Roman"/>
          <w:sz w:val="14"/>
          <w:szCs w:val="14"/>
          <w:color w:val="auto"/>
        </w:rPr>
      </w:pPr>
    </w:p>
    <w:p>
      <w:pPr>
        <w:ind w:left="8" w:right="2120" w:firstLine="208"/>
        <w:spacing w:after="0" w:line="474" w:lineRule="auto"/>
        <w:tabs>
          <w:tab w:leader="none" w:pos="44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Forvis Mazars, LLP as the Company’s independent registered public accounting firm for the fiscal year ending December 31, 2026. The following is a summary of the voting results for the matters voted upon by the shareholders:</w:t>
      </w:r>
    </w:p>
    <w:p>
      <w:pPr>
        <w:spacing w:after="0" w:line="1" w:lineRule="exact"/>
        <w:rPr>
          <w:rFonts w:ascii="Times New Roman" w:cs="Times New Roman" w:eastAsia="Times New Roman" w:hAnsi="Times New Roman"/>
          <w:sz w:val="14"/>
          <w:szCs w:val="14"/>
          <w:color w:val="auto"/>
        </w:rPr>
      </w:pPr>
    </w:p>
    <w:p>
      <w:pPr>
        <w:ind w:left="148" w:hanging="148"/>
        <w:spacing w:after="0"/>
        <w:tabs>
          <w:tab w:leader="none" w:pos="14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Election of Directors</w:t>
      </w:r>
    </w:p>
    <w:p>
      <w:pPr>
        <w:spacing w:after="0" w:line="193" w:lineRule="exact"/>
        <w:rPr>
          <w:sz w:val="20"/>
          <w:szCs w:val="20"/>
          <w:color w:val="auto"/>
        </w:rPr>
      </w:pPr>
    </w:p>
    <w:tbl>
      <w:tblPr>
        <w:tblLayout w:type="fixed"/>
        <w:tblInd w:w="448"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Name</w:t>
            </w:r>
          </w:p>
        </w:tc>
        <w:tc>
          <w:tcPr>
            <w:tcW w:w="24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4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1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8"/>
        </w:trPr>
        <w:tc>
          <w:tcPr>
            <w:tcW w:w="1000" w:type="dxa"/>
            <w:vAlign w:val="bottom"/>
          </w:tcPr>
          <w:p>
            <w:pPr>
              <w:spacing w:after="0"/>
              <w:rPr>
                <w:sz w:val="20"/>
                <w:szCs w:val="20"/>
                <w:color w:val="auto"/>
              </w:rPr>
            </w:pPr>
            <w:r>
              <w:rPr>
                <w:rFonts w:ascii="Times New Roman" w:cs="Times New Roman" w:eastAsia="Times New Roman" w:hAnsi="Times New Roman"/>
                <w:sz w:val="12"/>
                <w:szCs w:val="12"/>
                <w:color w:val="auto"/>
              </w:rPr>
              <w:t>David C. Boyles</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97,210,923</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843,293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A. Cashell, Jr.</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96,763,481</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1,290,735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Randall M. Chesler</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97,350,962</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703,254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Jesus T. Espinoza</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97,189,790</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864,426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Annie M. Goodwin</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96,423,064</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1,631,152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Kristen L. Heck</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97,220,641</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833,575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B. Hormaechea</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97,197,229</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856,987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Craig A. Langel</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96,351,180</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1,703,036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Douglas J. McBride</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96,242,791</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1,811,425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r>
        <w:trPr>
          <w:trHeight w:val="171"/>
        </w:trPr>
        <w:tc>
          <w:tcPr>
            <w:tcW w:w="2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Beth Noymer Levine</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97,179,135</w:t>
            </w:r>
          </w:p>
        </w:tc>
        <w:tc>
          <w:tcPr>
            <w:tcW w:w="224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875,081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12,350,890</w:t>
            </w:r>
          </w:p>
        </w:tc>
      </w:tr>
    </w:tbl>
    <w:p>
      <w:pPr>
        <w:spacing w:after="0" w:line="225"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Having received a plurality of the votes cast, those nominated are the newly elected directors of the Company. The elected directors will hold office until their successors are elected and qualified or until they resign or are removed from office.</w:t>
      </w:r>
    </w:p>
    <w:p>
      <w:pPr>
        <w:spacing w:after="0" w:line="2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2. Advisory (non-binding) resolution to approve the compensation of the Named Executive Officers</w:t>
      </w:r>
    </w:p>
    <w:p>
      <w:pPr>
        <w:spacing w:after="0" w:line="193" w:lineRule="exact"/>
        <w:rPr>
          <w:sz w:val="20"/>
          <w:szCs w:val="20"/>
          <w:color w:val="auto"/>
        </w:rPr>
      </w:pPr>
    </w:p>
    <w:tbl>
      <w:tblPr>
        <w:tblLayout w:type="fixed"/>
        <w:tblInd w:w="1308" w:type="dxa"/>
        <w:tblCellMar>
          <w:top w:w="0" w:type="dxa"/>
          <w:left w:w="0" w:type="dxa"/>
          <w:bottom w:w="0" w:type="dxa"/>
          <w:right w:w="0" w:type="dxa"/>
        </w:tblCellMar>
      </w:tblPr>
      <w:tr>
        <w:trPr>
          <w:trHeight w:val="161"/>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00" w:type="dxa"/>
            <w:vAlign w:val="bottom"/>
          </w:tcPr>
          <w:p>
            <w:pPr>
              <w:spacing w:after="0"/>
              <w:rPr>
                <w:sz w:val="13"/>
                <w:szCs w:val="13"/>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50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4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78"/>
        </w:trPr>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93,938,483</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3,813,044</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302,689</w:t>
            </w:r>
          </w:p>
        </w:tc>
        <w:tc>
          <w:tcPr>
            <w:tcW w:w="1420" w:type="dxa"/>
            <w:vAlign w:val="bottom"/>
          </w:tcPr>
          <w:p>
            <w:pPr>
              <w:spacing w:after="0"/>
              <w:rPr>
                <w:sz w:val="15"/>
                <w:szCs w:val="15"/>
                <w:color w:val="auto"/>
              </w:rPr>
            </w:pPr>
          </w:p>
        </w:tc>
        <w:tc>
          <w:tcPr>
            <w:tcW w:w="11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2"/>
                <w:szCs w:val="12"/>
                <w:color w:val="auto"/>
              </w:rPr>
              <w:t>12,350,890</w:t>
            </w:r>
          </w:p>
        </w:tc>
      </w:tr>
    </w:tbl>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advisory resolution to approve the compensation of the Named Executive Officers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370840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32"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3. Ratification of appointment of independent registered public accounting firm</w:t>
      </w:r>
    </w:p>
    <w:p>
      <w:pPr>
        <w:spacing w:after="0" w:line="19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5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4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178"/>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108,623,333</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2"/>
                <w:szCs w:val="12"/>
                <w:color w:val="auto"/>
              </w:rPr>
              <w:t>1,684,730</w:t>
            </w:r>
          </w:p>
        </w:tc>
        <w:tc>
          <w:tcPr>
            <w:tcW w:w="2220" w:type="dxa"/>
            <w:vAlign w:val="bottom"/>
            <w:gridSpan w:val="2"/>
          </w:tcPr>
          <w:p>
            <w:pPr>
              <w:jc w:val="right"/>
              <w:ind w:right="128"/>
              <w:spacing w:after="0"/>
              <w:rPr>
                <w:sz w:val="20"/>
                <w:szCs w:val="20"/>
                <w:color w:val="auto"/>
              </w:rPr>
            </w:pPr>
            <w:r>
              <w:rPr>
                <w:rFonts w:ascii="Times New Roman" w:cs="Times New Roman" w:eastAsia="Times New Roman" w:hAnsi="Times New Roman"/>
                <w:sz w:val="12"/>
                <w:szCs w:val="12"/>
                <w:color w:val="auto"/>
              </w:rPr>
              <w:t>97,043</w:t>
            </w:r>
          </w:p>
        </w:tc>
      </w:tr>
    </w:tbl>
    <w:p>
      <w:pPr>
        <w:spacing w:after="0" w:line="225" w:lineRule="exact"/>
        <w:rPr>
          <w:sz w:val="20"/>
          <w:szCs w:val="20"/>
          <w:color w:val="auto"/>
        </w:rPr>
      </w:pPr>
    </w:p>
    <w:p>
      <w:pPr>
        <w:ind w:right="2040"/>
        <w:spacing w:after="0" w:line="476" w:lineRule="auto"/>
        <w:rPr>
          <w:sz w:val="20"/>
          <w:szCs w:val="20"/>
          <w:color w:val="auto"/>
        </w:rPr>
      </w:pPr>
      <w:r>
        <w:rPr>
          <w:rFonts w:ascii="Times New Roman" w:cs="Times New Roman" w:eastAsia="Times New Roman" w:hAnsi="Times New Roman"/>
          <w:sz w:val="14"/>
          <w:szCs w:val="14"/>
          <w:color w:val="auto"/>
        </w:rPr>
        <w:t xml:space="preserve">Forvis Mazars, LLP is ratified as the Company’s independent registered public accounting firm for the fiscal year ending December 31, 2026. </w:t>
      </w:r>
      <w:r>
        <w:rPr>
          <w:rFonts w:ascii="Times New Roman" w:cs="Times New Roman" w:eastAsia="Times New Roman" w:hAnsi="Times New Roman"/>
          <w:sz w:val="14"/>
          <w:szCs w:val="14"/>
          <w:b w:val="1"/>
          <w:bCs w:val="1"/>
          <w:color w:val="auto"/>
        </w:rPr>
        <w:t>Item 7.01. REGULATION FD DISCLOSURE</w:t>
      </w:r>
    </w:p>
    <w:p>
      <w:pPr>
        <w:spacing w:after="0" w:line="476" w:lineRule="auto"/>
        <w:rPr>
          <w:sz w:val="20"/>
          <w:szCs w:val="20"/>
          <w:color w:val="auto"/>
        </w:rPr>
      </w:pPr>
      <w:r>
        <w:rPr>
          <w:rFonts w:ascii="Times New Roman" w:cs="Times New Roman" w:eastAsia="Times New Roman" w:hAnsi="Times New Roman"/>
          <w:sz w:val="14"/>
          <w:szCs w:val="14"/>
          <w:color w:val="auto"/>
        </w:rPr>
        <w:t xml:space="preserve">On April 29, 2026, the Company made a slide presentation at the Annual Meeting which is also posted on its website. The presentation is furnished as Exhibit 99.1 to this report. </w:t>
      </w:r>
      <w:r>
        <w:rPr>
          <w:rFonts w:ascii="Times New Roman" w:cs="Times New Roman" w:eastAsia="Times New Roman" w:hAnsi="Times New Roman"/>
          <w:sz w:val="14"/>
          <w:szCs w:val="14"/>
          <w:b w:val="1"/>
          <w:bCs w:val="1"/>
          <w:color w:val="auto"/>
        </w:rPr>
        <w:t>Item 9.01 FINANCIAL STATEMENTS AND EXHIBITS</w:t>
      </w:r>
    </w:p>
    <w:p>
      <w:pPr>
        <w:ind w:left="420"/>
        <w:spacing w:after="0"/>
        <w:rPr>
          <w:sz w:val="20"/>
          <w:szCs w:val="20"/>
          <w:color w:val="auto"/>
        </w:rPr>
      </w:pPr>
      <w:r>
        <w:rPr>
          <w:rFonts w:ascii="Times New Roman" w:cs="Times New Roman" w:eastAsia="Times New Roman" w:hAnsi="Times New Roman"/>
          <w:sz w:val="14"/>
          <w:szCs w:val="14"/>
          <w:color w:val="auto"/>
        </w:rPr>
        <w:t>(d) Exhibits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See Exhibit Index below.</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56"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4"/>
          <w:szCs w:val="14"/>
          <w:u w:val="single" w:color="auto"/>
          <w:color w:val="auto"/>
        </w:rPr>
        <w:t>Exhibit</w:t>
        <w:tab/>
        <w:t>Description</w:t>
      </w:r>
    </w:p>
    <w:p>
      <w:pPr>
        <w:spacing w:after="0" w:line="2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color w:val="auto"/>
        </w:rPr>
        <w:t>2026 Annual Meeting Slides</w:t>
      </w:r>
    </w:p>
    <w:p>
      <w:pPr>
        <w:spacing w:after="0" w:line="1"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360680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00"/>
          </w:cols>
          <w:pgMar w:left="300" w:top="632" w:right="13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440"/>
        <w:spacing w:after="0"/>
        <w:tabs>
          <w:tab w:leader="none" w:pos="1260" w:val="left"/>
          <w:tab w:leader="none" w:pos="48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May 1, 2026</w:t>
      </w:r>
      <w:r>
        <w:rPr>
          <w:sz w:val="20"/>
          <w:szCs w:val="20"/>
          <w:color w:val="auto"/>
        </w:rPr>
        <w:tab/>
      </w:r>
      <w:r>
        <w:rPr>
          <w:rFonts w:ascii="Times New Roman" w:cs="Times New Roman" w:eastAsia="Times New Roman" w:hAnsi="Times New Roman"/>
          <w:sz w:val="14"/>
          <w:szCs w:val="14"/>
          <w:color w:val="auto"/>
        </w:rPr>
        <w:t>GLACIER BANCORP, INC.</w:t>
      </w: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/s/ Randall M. Chesler</w:t>
      </w:r>
    </w:p>
    <w:p>
      <w:pPr>
        <w:spacing w:after="0" w:line="28" w:lineRule="exact"/>
        <w:rPr>
          <w:sz w:val="20"/>
          <w:szCs w:val="20"/>
          <w:color w:val="auto"/>
        </w:rPr>
      </w:pPr>
    </w:p>
    <w:p>
      <w:pPr>
        <w:ind w:left="4860"/>
        <w:spacing w:after="0"/>
        <w:tabs>
          <w:tab w:leader="none" w:pos="54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-101600</wp:posOffset>
            </wp:positionV>
            <wp:extent cx="32861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0480"/>
          </w:cols>
          <w:pgMar w:left="720" w:top="641" w:right="6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decimal"/>
      <w:start w:val="1"/>
    </w:lvl>
  </w:abstractNum>
  <w:abstractNum w:abstractNumId="2">
    <w:nsid w:val="19495CFF"/>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2026-05-01T15:44:52Z</dcterms:created>
  <dcterms:modified xsi:type="dcterms:W3CDTF">2026-05-01T15:44:52Z</dcterms:modified>
</cp:coreProperties>
</file>