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25</w:t>
      </w:r>
    </w:p>
    <w:p>
      <w:pPr>
        <w:spacing w:after="0" w:line="240" w:lineRule="exact"/>
        <w:rPr>
          <w:sz w:val="24"/>
          <w:szCs w:val="24"/>
          <w:color w:val="auto"/>
        </w:rPr>
      </w:pPr>
    </w:p>
    <w:p>
      <w:pPr>
        <w:jc w:val="center"/>
        <w:ind w:left="360" w:right="2740"/>
        <w:spacing w:after="0" w:line="222" w:lineRule="auto"/>
        <w:rPr>
          <w:sz w:val="20"/>
          <w:szCs w:val="20"/>
          <w:color w:val="auto"/>
        </w:rPr>
      </w:pPr>
      <w:r>
        <w:rPr>
          <w:rFonts w:ascii="Arial" w:cs="Arial" w:eastAsia="Arial" w:hAnsi="Arial"/>
          <w:sz w:val="22"/>
          <w:szCs w:val="22"/>
          <w:b w:val="1"/>
          <w:bCs w:val="1"/>
          <w:color w:val="auto"/>
        </w:rPr>
        <w:t>NOTIFICATION OF REMOVAL FROM LISTING AND/OR REGISTRATION UNDER SECTION 12(b) OF THE SECURITIES EXCHANGE ACT OF 1934</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000-18911</w:t>
      </w:r>
    </w:p>
    <w:p>
      <w:pPr>
        <w:spacing w:after="0" w:line="18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GLACIER BANCORP, INC.</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NASDAQ Global Select Market</w:t>
      </w:r>
    </w:p>
    <w:p>
      <w:pPr>
        <w:jc w:val="center"/>
        <w:ind w:right="-19"/>
        <w:spacing w:after="0" w:line="219" w:lineRule="auto"/>
        <w:rPr>
          <w:sz w:val="20"/>
          <w:szCs w:val="20"/>
          <w:color w:val="auto"/>
        </w:rPr>
      </w:pPr>
      <w:r>
        <w:rPr>
          <w:rFonts w:ascii="Arial" w:cs="Arial" w:eastAsia="Arial" w:hAnsi="Arial"/>
          <w:sz w:val="18"/>
          <w:szCs w:val="18"/>
          <w:b w:val="1"/>
          <w:bCs w:val="1"/>
          <w:color w:val="auto"/>
        </w:rPr>
        <w:t>(Exact name of registrant as specified in its charter, and name of Exchange</w:t>
      </w:r>
    </w:p>
    <w:p>
      <w:pPr>
        <w:jc w:val="center"/>
        <w:ind w:right="-19"/>
        <w:spacing w:after="0"/>
        <w:rPr>
          <w:sz w:val="20"/>
          <w:szCs w:val="20"/>
          <w:color w:val="auto"/>
        </w:rPr>
      </w:pPr>
      <w:r>
        <w:rPr>
          <w:rFonts w:ascii="Arial" w:cs="Arial" w:eastAsia="Arial" w:hAnsi="Arial"/>
          <w:sz w:val="18"/>
          <w:szCs w:val="18"/>
          <w:b w:val="1"/>
          <w:bCs w:val="1"/>
          <w:color w:val="auto"/>
        </w:rPr>
        <w:t>where security is listed and/or registered)</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49 Commons Loop</w:t>
      </w:r>
    </w:p>
    <w:p>
      <w:pPr>
        <w:jc w:val="center"/>
        <w:ind w:right="-19"/>
        <w:spacing w:after="0" w:line="221" w:lineRule="auto"/>
        <w:rPr>
          <w:sz w:val="20"/>
          <w:szCs w:val="20"/>
          <w:color w:val="auto"/>
        </w:rPr>
      </w:pPr>
      <w:r>
        <w:rPr>
          <w:rFonts w:ascii="Arial" w:cs="Arial" w:eastAsia="Arial" w:hAnsi="Arial"/>
          <w:sz w:val="18"/>
          <w:szCs w:val="18"/>
          <w:b w:val="1"/>
          <w:bCs w:val="1"/>
          <w:color w:val="auto"/>
        </w:rPr>
        <w:t>Kalispell, MT 59901</w:t>
      </w:r>
    </w:p>
    <w:p>
      <w:pPr>
        <w:jc w:val="center"/>
        <w:ind w:right="-19"/>
        <w:spacing w:after="0" w:line="219" w:lineRule="auto"/>
        <w:rPr>
          <w:sz w:val="20"/>
          <w:szCs w:val="20"/>
          <w:color w:val="auto"/>
        </w:rPr>
      </w:pPr>
      <w:r>
        <w:rPr>
          <w:rFonts w:ascii="Arial" w:cs="Arial" w:eastAsia="Arial" w:hAnsi="Arial"/>
          <w:sz w:val="18"/>
          <w:szCs w:val="18"/>
          <w:b w:val="1"/>
          <w:bCs w:val="1"/>
          <w:color w:val="auto"/>
        </w:rPr>
        <w:t>(406) 756-4200</w:t>
      </w:r>
    </w:p>
    <w:p>
      <w:pPr>
        <w:jc w:val="center"/>
        <w:ind w:right="-19"/>
        <w:spacing w:after="0" w:line="219" w:lineRule="auto"/>
        <w:rPr>
          <w:sz w:val="20"/>
          <w:szCs w:val="20"/>
          <w:color w:val="auto"/>
        </w:rPr>
      </w:pPr>
      <w:r>
        <w:rPr>
          <w:rFonts w:ascii="Arial" w:cs="Arial" w:eastAsia="Arial" w:hAnsi="Arial"/>
          <w:sz w:val="18"/>
          <w:szCs w:val="18"/>
          <w:b w:val="1"/>
          <w:bCs w:val="1"/>
          <w:color w:val="auto"/>
        </w:rPr>
        <w:t>(Address, including zip code, and telephone number, including area code, of Issuer’s principal executive offices)</w:t>
      </w:r>
    </w:p>
    <w:p>
      <w:pPr>
        <w:jc w:val="center"/>
        <w:ind w:right="-19"/>
        <w:spacing w:after="0" w:line="225" w:lineRule="auto"/>
        <w:rPr>
          <w:sz w:val="20"/>
          <w:szCs w:val="20"/>
          <w:color w:val="auto"/>
        </w:rPr>
      </w:pPr>
      <w:r>
        <w:rPr>
          <w:rFonts w:ascii="Arial" w:cs="Arial" w:eastAsia="Arial" w:hAnsi="Arial"/>
          <w:sz w:val="18"/>
          <w:szCs w:val="18"/>
          <w:b w:val="1"/>
          <w:bCs w:val="1"/>
          <w:color w:val="auto"/>
        </w:rPr>
        <w:t>Common Stock, par value $0.01</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(Description of class of securities)</w:t>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Please place an X in the box to designate the rule provision relied upon to strike the class of securities from listing and registration:</w:t>
      </w:r>
    </w:p>
    <w:p>
      <w:pPr>
        <w:spacing w:after="0" w:line="36" w:lineRule="exact"/>
        <w:rPr>
          <w:sz w:val="24"/>
          <w:szCs w:val="24"/>
          <w:color w:val="auto"/>
        </w:rPr>
      </w:pPr>
    </w:p>
    <w:p>
      <w:pPr>
        <w:ind w:left="1700" w:hanging="198"/>
        <w:spacing w:after="0"/>
        <w:tabs>
          <w:tab w:leader="none" w:pos="170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17 CFR 240.12d2-2(a)(1)</w:t>
      </w:r>
    </w:p>
    <w:p>
      <w:pPr>
        <w:spacing w:after="0" w:line="157" w:lineRule="exact"/>
        <w:rPr>
          <w:rFonts w:ascii="MS PGothic" w:cs="MS PGothic" w:eastAsia="MS PGothic" w:hAnsi="MS PGothic"/>
          <w:sz w:val="18"/>
          <w:szCs w:val="18"/>
          <w:color w:val="auto"/>
        </w:rPr>
      </w:pPr>
    </w:p>
    <w:p>
      <w:pPr>
        <w:ind w:left="1680" w:hanging="191"/>
        <w:spacing w:after="0"/>
        <w:tabs>
          <w:tab w:leader="none" w:pos="1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17 CFR 240.12d2-2(a)(2)</w:t>
      </w:r>
    </w:p>
    <w:p>
      <w:pPr>
        <w:spacing w:after="0" w:line="144" w:lineRule="exact"/>
        <w:rPr>
          <w:rFonts w:ascii="MS PGothic" w:cs="MS PGothic" w:eastAsia="MS PGothic" w:hAnsi="MS PGothic"/>
          <w:sz w:val="18"/>
          <w:szCs w:val="18"/>
          <w:color w:val="auto"/>
        </w:rPr>
      </w:pPr>
    </w:p>
    <w:p>
      <w:pPr>
        <w:ind w:left="1700" w:hanging="198"/>
        <w:spacing w:after="0"/>
        <w:tabs>
          <w:tab w:leader="none" w:pos="170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17 CFR 240.12d2-2(a)(3)</w:t>
      </w:r>
    </w:p>
    <w:p>
      <w:pPr>
        <w:spacing w:after="0" w:line="157" w:lineRule="exact"/>
        <w:rPr>
          <w:rFonts w:ascii="MS PGothic" w:cs="MS PGothic" w:eastAsia="MS PGothic" w:hAnsi="MS PGothic"/>
          <w:sz w:val="18"/>
          <w:szCs w:val="18"/>
          <w:color w:val="auto"/>
        </w:rPr>
      </w:pPr>
    </w:p>
    <w:p>
      <w:pPr>
        <w:ind w:left="1700" w:hanging="198"/>
        <w:spacing w:after="0"/>
        <w:tabs>
          <w:tab w:leader="none" w:pos="170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17 CFR 240.12d2-2(a)(4)</w:t>
      </w:r>
    </w:p>
    <w:p>
      <w:pPr>
        <w:spacing w:after="0" w:line="157" w:lineRule="exact"/>
        <w:rPr>
          <w:rFonts w:ascii="MS PGothic" w:cs="MS PGothic" w:eastAsia="MS PGothic" w:hAnsi="MS PGothic"/>
          <w:sz w:val="18"/>
          <w:szCs w:val="18"/>
          <w:color w:val="auto"/>
        </w:rPr>
      </w:pPr>
    </w:p>
    <w:p>
      <w:pPr>
        <w:ind w:left="1700" w:right="800" w:hanging="198"/>
        <w:spacing w:after="0" w:line="246" w:lineRule="auto"/>
        <w:tabs>
          <w:tab w:leader="none" w:pos="170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Pursuant to 17 CFR 240.12d2-2(b), the Exchange has complied with its rules to strike the class of securities from listings and/or withdraw registration on the Exchange.</w:t>
      </w:r>
    </w:p>
    <w:p>
      <w:pPr>
        <w:spacing w:after="0" w:line="116" w:lineRule="exact"/>
        <w:rPr>
          <w:sz w:val="24"/>
          <w:szCs w:val="24"/>
          <w:color w:val="auto"/>
        </w:rPr>
      </w:pPr>
    </w:p>
    <w:p>
      <w:pPr>
        <w:ind w:left="1700" w:right="640" w:hanging="198"/>
        <w:spacing w:after="0" w:line="307" w:lineRule="auto"/>
        <w:tabs>
          <w:tab w:leader="none" w:pos="170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Pursuant to 17 CFR 240.12d2-2(c), the Issuer has complied with the rules of the Exchange and the requirements of 17 CFR 240.12d2-2(c) governing the voluntary withdrawal of the class of securities from listing and registration on the Exchange.</w:t>
      </w:r>
    </w:p>
    <w:p>
      <w:pPr>
        <w:spacing w:after="0" w:line="29" w:lineRule="exact"/>
        <w:rPr>
          <w:sz w:val="24"/>
          <w:szCs w:val="24"/>
          <w:color w:val="auto"/>
        </w:rPr>
      </w:pPr>
    </w:p>
    <w:p>
      <w:pPr>
        <w:spacing w:after="0" w:line="307" w:lineRule="auto"/>
        <w:rPr>
          <w:sz w:val="20"/>
          <w:szCs w:val="20"/>
          <w:color w:val="auto"/>
        </w:rPr>
      </w:pPr>
      <w:r>
        <w:rPr>
          <w:rFonts w:ascii="Arial" w:cs="Arial" w:eastAsia="Arial" w:hAnsi="Arial"/>
          <w:sz w:val="16"/>
          <w:szCs w:val="16"/>
          <w:color w:val="auto"/>
        </w:rPr>
        <w:t>Pursuant to the requirements of the Securities Exchange Act of 1934, Glacier Bancorp, Inc. certifies that it has reasonable grounds to believe that it meets all of the requirements for filing the Form 25 and has caused this notification to be signed on its behalf by the undersigned duly authorized person.</w:t>
      </w:r>
    </w:p>
    <w:p>
      <w:pPr>
        <w:sectPr>
          <w:pgSz w:w="11900" w:h="16838" w:orient="portrait"/>
          <w:cols w:equalWidth="0" w:num="1">
            <w:col w:w="11220"/>
          </w:cols>
          <w:pgMar w:left="320" w:top="1440" w:right="359" w:bottom="1440" w:gutter="0" w:footer="0" w:header="0"/>
        </w:sectPr>
      </w:pPr>
    </w:p>
    <w:bookmarkStart w:id="1" w:name="page2"/>
    <w:bookmarkEnd w:id="1"/>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December 16, 2021</w:t>
            </w:r>
          </w:p>
        </w:tc>
        <w:tc>
          <w:tcPr>
            <w:tcW w:w="2060" w:type="dxa"/>
            <w:vAlign w:val="bottom"/>
          </w:tcPr>
          <w:p>
            <w:pPr>
              <w:ind w:left="1600"/>
              <w:spacing w:after="0"/>
              <w:rPr>
                <w:sz w:val="20"/>
                <w:szCs w:val="20"/>
                <w:color w:val="auto"/>
              </w:rPr>
            </w:pPr>
            <w:r>
              <w:rPr>
                <w:rFonts w:ascii="Arial" w:cs="Arial" w:eastAsia="Arial" w:hAnsi="Arial"/>
                <w:sz w:val="18"/>
                <w:szCs w:val="18"/>
                <w:color w:val="auto"/>
              </w:rPr>
              <w:t>By:</w:t>
            </w:r>
          </w:p>
        </w:tc>
        <w:tc>
          <w:tcPr>
            <w:tcW w:w="31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/s/ Ron Copher</w:t>
            </w:r>
          </w:p>
        </w:tc>
        <w:tc>
          <w:tcPr>
            <w:tcW w:w="640" w:type="dxa"/>
            <w:vAlign w:val="bottom"/>
          </w:tcPr>
          <w:p>
            <w:pPr>
              <w:spacing w:after="0"/>
              <w:rPr>
                <w:sz w:val="20"/>
                <w:szCs w:val="20"/>
                <w:color w:val="auto"/>
              </w:rPr>
            </w:pPr>
          </w:p>
        </w:tc>
        <w:tc>
          <w:tcPr>
            <w:tcW w:w="3040" w:type="dxa"/>
            <w:vAlign w:val="bottom"/>
            <w:tcBorders>
              <w:bottom w:val="single" w:sz="8" w:color="auto"/>
            </w:tcBorders>
          </w:tcPr>
          <w:p>
            <w:pPr>
              <w:jc w:val="center"/>
              <w:ind w:left="339"/>
              <w:spacing w:after="0"/>
              <w:rPr>
                <w:sz w:val="20"/>
                <w:szCs w:val="20"/>
                <w:color w:val="auto"/>
              </w:rPr>
            </w:pPr>
            <w:r>
              <w:rPr>
                <w:rFonts w:ascii="Arial" w:cs="Arial" w:eastAsia="Arial" w:hAnsi="Arial"/>
                <w:sz w:val="18"/>
                <w:szCs w:val="18"/>
                <w:color w:val="auto"/>
                <w:w w:val="93"/>
              </w:rPr>
              <w:t>Chief Financial Officer</w:t>
            </w:r>
          </w:p>
        </w:tc>
      </w:tr>
      <w:tr>
        <w:trPr>
          <w:trHeight w:val="190"/>
        </w:trPr>
        <w:tc>
          <w:tcPr>
            <w:tcW w:w="232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2060" w:type="dxa"/>
            <w:vAlign w:val="bottom"/>
          </w:tcPr>
          <w:p>
            <w:pPr>
              <w:spacing w:after="0"/>
              <w:rPr>
                <w:sz w:val="16"/>
                <w:szCs w:val="16"/>
                <w:color w:val="auto"/>
              </w:rPr>
            </w:pPr>
          </w:p>
        </w:tc>
        <w:tc>
          <w:tcPr>
            <w:tcW w:w="3820" w:type="dxa"/>
            <w:vAlign w:val="bottom"/>
            <w:gridSpan w:val="2"/>
          </w:tcPr>
          <w:p>
            <w:pPr>
              <w:ind w:left="820"/>
              <w:spacing w:after="0"/>
              <w:rPr>
                <w:sz w:val="20"/>
                <w:szCs w:val="20"/>
                <w:color w:val="auto"/>
              </w:rPr>
            </w:pPr>
            <w:r>
              <w:rPr>
                <w:rFonts w:ascii="Arial" w:cs="Arial" w:eastAsia="Arial" w:hAnsi="Arial"/>
                <w:sz w:val="14"/>
                <w:szCs w:val="14"/>
                <w:b w:val="1"/>
                <w:bCs w:val="1"/>
                <w:color w:val="auto"/>
              </w:rPr>
              <w:t>Name</w:t>
            </w:r>
          </w:p>
        </w:tc>
        <w:tc>
          <w:tcPr>
            <w:tcW w:w="3040" w:type="dxa"/>
            <w:vAlign w:val="bottom"/>
          </w:tcPr>
          <w:p>
            <w:pPr>
              <w:jc w:val="center"/>
              <w:ind w:left="339"/>
              <w:spacing w:after="0"/>
              <w:rPr>
                <w:sz w:val="20"/>
                <w:szCs w:val="20"/>
                <w:color w:val="auto"/>
              </w:rPr>
            </w:pPr>
            <w:r>
              <w:rPr>
                <w:rFonts w:ascii="Arial" w:cs="Arial" w:eastAsia="Arial" w:hAnsi="Arial"/>
                <w:sz w:val="14"/>
                <w:szCs w:val="14"/>
                <w:b w:val="1"/>
                <w:bCs w:val="1"/>
                <w:color w:val="auto"/>
              </w:rPr>
              <w:t>Title</w:t>
            </w: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lvl w:ilvl="1">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2021-12-16T15:38:14Z</dcterms:created>
  <dcterms:modified xsi:type="dcterms:W3CDTF">2021-12-16T15:38:14Z</dcterms:modified>
</cp:coreProperties>
</file>